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2976D9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2976D9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2976D9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області</w:t>
            </w: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2976D9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2976D9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2976D9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DB2784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2976D9">
        <w:rPr>
          <w:rFonts w:eastAsia="Times New Roman"/>
          <w:sz w:val="26"/>
          <w:szCs w:val="26"/>
          <w:lang w:eastAsia="ru-RU"/>
        </w:rPr>
        <w:t>1</w:t>
      </w:r>
      <w:r w:rsidR="00786471">
        <w:rPr>
          <w:rFonts w:eastAsia="Times New Roman"/>
          <w:sz w:val="26"/>
          <w:szCs w:val="26"/>
          <w:lang w:eastAsia="ru-RU"/>
        </w:rPr>
        <w:t>5</w:t>
      </w:r>
      <w:r w:rsidR="005532B6" w:rsidRPr="002976D9">
        <w:rPr>
          <w:rFonts w:eastAsia="Times New Roman"/>
          <w:sz w:val="26"/>
          <w:szCs w:val="26"/>
          <w:lang w:eastAsia="ru-RU"/>
        </w:rPr>
        <w:t>.</w:t>
      </w:r>
      <w:r w:rsidR="00903412" w:rsidRPr="002976D9">
        <w:rPr>
          <w:rFonts w:eastAsia="Times New Roman"/>
          <w:sz w:val="26"/>
          <w:szCs w:val="26"/>
          <w:lang w:eastAsia="ru-RU"/>
        </w:rPr>
        <w:t>0</w:t>
      </w:r>
      <w:r w:rsidR="00EF5DB9" w:rsidRPr="002976D9">
        <w:rPr>
          <w:rFonts w:eastAsia="Times New Roman"/>
          <w:sz w:val="26"/>
          <w:szCs w:val="26"/>
          <w:lang w:eastAsia="ru-RU"/>
        </w:rPr>
        <w:t>8</w:t>
      </w:r>
      <w:r w:rsidR="005532B6" w:rsidRPr="002976D9">
        <w:rPr>
          <w:rFonts w:eastAsia="Times New Roman"/>
          <w:sz w:val="26"/>
          <w:szCs w:val="26"/>
          <w:lang w:eastAsia="ru-RU"/>
        </w:rPr>
        <w:t>.202</w:t>
      </w:r>
      <w:r w:rsidR="0016669D" w:rsidRPr="00DB2784">
        <w:rPr>
          <w:rFonts w:eastAsia="Times New Roman"/>
          <w:sz w:val="26"/>
          <w:szCs w:val="26"/>
          <w:lang w:eastAsia="ru-RU"/>
        </w:rPr>
        <w:t>4</w:t>
      </w:r>
    </w:p>
    <w:p w:rsidR="0016669D" w:rsidRPr="00DB2784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DB2784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2E2265">
        <w:rPr>
          <w:rFonts w:eastAsia="Times New Roman"/>
          <w:b/>
          <w:sz w:val="26"/>
          <w:szCs w:val="26"/>
          <w:lang w:eastAsia="ru-RU"/>
        </w:rPr>
        <w:t>І півріччя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2E2265">
        <w:rPr>
          <w:rFonts w:eastAsia="Times New Roman"/>
          <w:sz w:val="26"/>
          <w:szCs w:val="26"/>
          <w:lang w:eastAsia="ru-RU"/>
        </w:rPr>
        <w:t>І півріччя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2E2265">
        <w:rPr>
          <w:rFonts w:eastAsia="Times New Roman"/>
          <w:color w:val="000000" w:themeColor="text1"/>
          <w:sz w:val="26"/>
          <w:szCs w:val="26"/>
          <w:lang w:eastAsia="ru-RU"/>
        </w:rPr>
        <w:t>1016964,2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733AC0">
        <w:rPr>
          <w:rFonts w:eastAsia="Times New Roman"/>
          <w:sz w:val="26"/>
          <w:szCs w:val="26"/>
          <w:lang w:eastAsia="ru-RU"/>
        </w:rPr>
        <w:t>10</w:t>
      </w:r>
      <w:r w:rsidR="002E2265">
        <w:rPr>
          <w:rFonts w:eastAsia="Times New Roman"/>
          <w:sz w:val="26"/>
          <w:szCs w:val="26"/>
          <w:lang w:eastAsia="ru-RU"/>
        </w:rPr>
        <w:t>7,6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2E2265">
        <w:rPr>
          <w:rFonts w:eastAsia="Times New Roman"/>
          <w:sz w:val="26"/>
          <w:szCs w:val="26"/>
          <w:lang w:eastAsia="ru-RU"/>
        </w:rPr>
        <w:t>І півріччям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2E2265">
        <w:rPr>
          <w:rFonts w:eastAsia="Times New Roman"/>
          <w:color w:val="000000" w:themeColor="text1"/>
          <w:sz w:val="26"/>
          <w:szCs w:val="26"/>
          <w:lang w:eastAsia="ru-RU"/>
        </w:rPr>
        <w:t>404654,5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2E2265">
        <w:rPr>
          <w:rFonts w:eastAsia="Times New Roman"/>
          <w:sz w:val="26"/>
          <w:szCs w:val="26"/>
          <w:lang w:eastAsia="ru-RU"/>
        </w:rPr>
        <w:t>87,9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2E2265">
        <w:rPr>
          <w:rFonts w:eastAsia="Times New Roman"/>
          <w:color w:val="000000" w:themeColor="text1"/>
          <w:sz w:val="26"/>
          <w:szCs w:val="26"/>
          <w:lang w:val="ru-RU" w:eastAsia="ru-RU"/>
        </w:rPr>
        <w:t>612309,7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2E2265">
        <w:rPr>
          <w:rFonts w:eastAsia="Times New Roman"/>
          <w:sz w:val="26"/>
          <w:szCs w:val="26"/>
          <w:lang w:eastAsia="ru-RU"/>
        </w:rPr>
        <w:t>І півріччя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2E2265">
        <w:rPr>
          <w:rFonts w:eastAsia="Times New Roman"/>
          <w:sz w:val="26"/>
          <w:szCs w:val="26"/>
          <w:lang w:val="ru-RU" w:eastAsia="ru-RU"/>
        </w:rPr>
        <w:t>484795,9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2E2265">
        <w:rPr>
          <w:rFonts w:eastAsia="Times New Roman"/>
          <w:color w:val="000000" w:themeColor="text1"/>
          <w:sz w:val="26"/>
          <w:szCs w:val="26"/>
          <w:lang w:eastAsia="ru-RU"/>
        </w:rPr>
        <w:t>5</w:t>
      </w:r>
      <w:r w:rsidR="00EC252F">
        <w:rPr>
          <w:rFonts w:eastAsia="Times New Roman"/>
          <w:color w:val="000000" w:themeColor="text1"/>
          <w:sz w:val="26"/>
          <w:szCs w:val="26"/>
          <w:lang w:eastAsia="ru-RU"/>
        </w:rPr>
        <w:t>1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2E2265">
        <w:rPr>
          <w:rFonts w:eastAsia="Times New Roman"/>
          <w:sz w:val="26"/>
          <w:szCs w:val="26"/>
          <w:lang w:eastAsia="ru-RU"/>
        </w:rPr>
        <w:t>І півріччя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8D426F">
        <w:rPr>
          <w:rFonts w:eastAsia="Times New Roman"/>
          <w:sz w:val="26"/>
          <w:szCs w:val="26"/>
          <w:lang w:eastAsia="ru-RU"/>
        </w:rPr>
        <w:t>2,</w:t>
      </w:r>
      <w:r w:rsidR="002E2265">
        <w:rPr>
          <w:rFonts w:eastAsia="Times New Roman"/>
          <w:sz w:val="26"/>
          <w:szCs w:val="26"/>
          <w:lang w:eastAsia="ru-RU"/>
        </w:rPr>
        <w:t>05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2E2265">
        <w:rPr>
          <w:rFonts w:eastAsia="Times New Roman"/>
          <w:sz w:val="26"/>
          <w:szCs w:val="26"/>
          <w:lang w:val="ru-RU" w:eastAsia="ru-RU"/>
        </w:rPr>
        <w:t>42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786471">
          <w:footerReference w:type="first" r:id="rId8"/>
          <w:pgSz w:w="11906" w:h="16838" w:code="9"/>
          <w:pgMar w:top="851" w:right="1134" w:bottom="851" w:left="1134" w:header="709" w:footer="709" w:gutter="0"/>
          <w:cols w:space="286"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9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2976D9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2976D9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</w:t>
      </w:r>
      <w:r w:rsidR="002976D9">
        <w:br/>
      </w:r>
      <w:r w:rsidRPr="00BE199D">
        <w:t xml:space="preserve">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2976D9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976D9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976D9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976D9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976D9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2976D9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2976D9" w:rsidRPr="00364BA2" w:rsidRDefault="002976D9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5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6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A0258E" w:rsidRPr="008B414C">
        <w:rPr>
          <w:rFonts w:eastAsia="Times New Roman"/>
          <w:b/>
          <w:sz w:val="26"/>
          <w:szCs w:val="26"/>
          <w:lang w:eastAsia="ru-RU"/>
        </w:rPr>
        <w:t>в</w:t>
      </w:r>
      <w:r w:rsidR="00B93B5A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2E2265" w:rsidRPr="002E2265">
        <w:rPr>
          <w:rFonts w:eastAsia="Times New Roman"/>
          <w:b/>
          <w:sz w:val="26"/>
          <w:szCs w:val="26"/>
          <w:lang w:eastAsia="ru-RU"/>
        </w:rPr>
        <w:t>І півріччі</w:t>
      </w:r>
      <w:r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060" w:type="dxa"/>
        <w:tblLayout w:type="fixed"/>
        <w:tblLook w:val="01E0" w:firstRow="1" w:lastRow="1" w:firstColumn="1" w:lastColumn="1" w:noHBand="0" w:noVBand="0"/>
      </w:tblPr>
      <w:tblGrid>
        <w:gridCol w:w="2944"/>
        <w:gridCol w:w="1164"/>
        <w:gridCol w:w="990"/>
        <w:gridCol w:w="887"/>
        <w:gridCol w:w="1098"/>
        <w:gridCol w:w="967"/>
        <w:gridCol w:w="944"/>
        <w:gridCol w:w="1066"/>
      </w:tblGrid>
      <w:tr w:rsidR="008A5DDC" w:rsidRPr="005A3086" w:rsidTr="002976D9">
        <w:trPr>
          <w:trHeight w:hRule="exact" w:val="255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2976D9">
        <w:trPr>
          <w:trHeight w:val="282"/>
        </w:trPr>
        <w:tc>
          <w:tcPr>
            <w:tcW w:w="2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34287F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2E2265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3E33DC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2E2265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5A3086" w:rsidRDefault="002E2265" w:rsidP="002E2265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16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A65F2D">
            <w:pPr>
              <w:spacing w:after="0" w:line="240" w:lineRule="auto"/>
              <w:ind w:left="-80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1016964,2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107,6</w:t>
            </w:r>
          </w:p>
        </w:tc>
        <w:tc>
          <w:tcPr>
            <w:tcW w:w="88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404654,5</w:t>
            </w:r>
          </w:p>
        </w:tc>
        <w:tc>
          <w:tcPr>
            <w:tcW w:w="96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87,9</w:t>
            </w:r>
          </w:p>
        </w:tc>
        <w:tc>
          <w:tcPr>
            <w:tcW w:w="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612309,7</w:t>
            </w:r>
          </w:p>
        </w:tc>
      </w:tr>
      <w:tr w:rsidR="008A5DDC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EF5DB9" w:rsidRDefault="008A5DDC" w:rsidP="00EF5DB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B4BFD" w:rsidRDefault="002E2265" w:rsidP="002E2265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11341,7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73,1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1782,7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58,9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9559,1</w:t>
            </w: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Default="002E2265" w:rsidP="002E226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9147,2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64267,6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8894,9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993,8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252,3</w:t>
            </w: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B4BFD" w:rsidRDefault="002E2265" w:rsidP="002E226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13978,6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232,0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97,2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127,1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13881,4</w:t>
            </w: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B4BFD" w:rsidRDefault="002E2265" w:rsidP="002E226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12675,6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66,1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8056,3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41,3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4619,4</w:t>
            </w:r>
          </w:p>
        </w:tc>
      </w:tr>
      <w:tr w:rsidR="002E2265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B4BFD" w:rsidRDefault="002E2265" w:rsidP="002E226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20077,1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6551,8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2273,8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708,0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17803,2</w:t>
            </w:r>
          </w:p>
        </w:tc>
      </w:tr>
      <w:tr w:rsidR="002E2265" w:rsidRPr="005A3086" w:rsidTr="002976D9">
        <w:trPr>
          <w:trHeight w:hRule="exact" w:val="778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B4BFD" w:rsidRDefault="002E2265" w:rsidP="002E2265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10755,2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319,5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209,9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E2265" w:rsidRPr="00EF5DB9" w:rsidRDefault="002E2265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10749,8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14545,3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205,2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17924,6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334,0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3379,3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336,2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41,8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8920,0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1276,5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8583,8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38805,0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128,5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3,8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405,1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38399,9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10896,0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152,3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1386,0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149,0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9510,0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5830,7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41,3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2055,2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3775,5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31659,4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1148,9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31659,4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87841,1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164,2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8,6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4848,9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80,8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82992,2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20266,7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35,9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12717,2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86,7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7549,5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12420,4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149,9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4927,8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105,0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7492,6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48513,7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38,2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4,8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67605,8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92,5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16,7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19092,0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11839,0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625,2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11839,0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7011,3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175,8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6968,7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18036,1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71,2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2004,6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35,1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16031,5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Лiван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5578,0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98,4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5578,0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12906,2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1706,1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12906,2</w:t>
            </w:r>
          </w:p>
        </w:tc>
      </w:tr>
      <w:tr w:rsidR="00787B49" w:rsidRPr="005A3086" w:rsidTr="002976D9">
        <w:trPr>
          <w:trHeight w:hRule="exact" w:val="277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70849,8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212,2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7,0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5501,1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93,4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65348,7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17567,5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151,6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37171,2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85,6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19603,8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25669,7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241,6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25669,7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7685,8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941,7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7685,8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131,6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44,9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6384,6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107251,4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84,0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10,5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63794,1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80,7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15,8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43457,3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Португалія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3029,8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300,3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604,3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54,9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2425,5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22905,3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83,3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420,1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30,5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22485,2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30657,9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17095,5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82,5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13562,4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76385,0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176,1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7,5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238,6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70,2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76146,4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1935,5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682,2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10093,4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177,3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8157,9</w:t>
            </w:r>
          </w:p>
        </w:tc>
      </w:tr>
      <w:tr w:rsidR="00787B49" w:rsidRPr="005A3086" w:rsidTr="002976D9">
        <w:trPr>
          <w:trHeight w:hRule="exact" w:val="884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647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 xml:space="preserve">Сполучене Королівство Великої Британії </w:t>
            </w:r>
            <w:r w:rsidR="00786471">
              <w:rPr>
                <w:rFonts w:asciiTheme="minorHAnsi" w:hAnsiTheme="minorHAnsi" w:cs="Times New Roman CYR"/>
              </w:rPr>
              <w:t>т</w:t>
            </w:r>
            <w:r w:rsidRPr="00EB4BFD">
              <w:rPr>
                <w:rFonts w:asciiTheme="minorHAnsi" w:hAnsiTheme="minorHAnsi" w:cs="Times New Roman CYR"/>
              </w:rPr>
              <w:t>а Північної Ірландії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5145,0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94,8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4953,3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68,8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191,6</w:t>
            </w:r>
          </w:p>
        </w:tc>
      </w:tr>
      <w:tr w:rsidR="00787B49" w:rsidRPr="005A3086" w:rsidTr="002976D9">
        <w:trPr>
          <w:trHeight w:hRule="exact" w:val="313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3481,5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91,4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37036,5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152,6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33555,0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21007,1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322,0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185,1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1010,8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20822,0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59674,8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69,1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5,9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24347,2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46,2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35327,6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9050,9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134,0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174,1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30,4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8876,8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7482,3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76,9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12752,4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87,7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87B49" w:rsidRPr="00EF5DB9">
              <w:rPr>
                <w:rFonts w:asciiTheme="minorHAnsi" w:hAnsiTheme="minorHAnsi" w:cs="Times New Roman CYR"/>
              </w:rPr>
              <w:t>5270,1</w:t>
            </w: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B4BFD" w:rsidRDefault="00787B49" w:rsidP="00787B49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12914,9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257,7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5363,9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153,9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7551,0</w:t>
            </w:r>
          </w:p>
        </w:tc>
      </w:tr>
      <w:tr w:rsidR="00CE1D4B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ind w:left="142"/>
              <w:rPr>
                <w:rFonts w:asciiTheme="minorHAnsi" w:hAnsiTheme="minorHAnsi" w:cs="Times New Roman CYR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CE1D4B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F5DB9" w:rsidRDefault="00CE1D4B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787B49" w:rsidRPr="005A3086" w:rsidTr="002976D9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5A3086" w:rsidRDefault="00787B49" w:rsidP="00787B49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475666,4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94,3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46,8</w:t>
            </w:r>
          </w:p>
        </w:tc>
        <w:tc>
          <w:tcPr>
            <w:tcW w:w="10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215579,1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90,4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53,3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87B49" w:rsidRPr="00EF5DB9" w:rsidRDefault="00787B4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260087,3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364BA2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8E0DEE" w:rsidRPr="002E2265">
        <w:rPr>
          <w:rFonts w:eastAsia="Times New Roman"/>
          <w:b/>
          <w:sz w:val="26"/>
          <w:szCs w:val="26"/>
          <w:lang w:eastAsia="ru-RU"/>
        </w:rPr>
        <w:t>І півріччі</w:t>
      </w:r>
      <w:r w:rsidR="008E0DEE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1119"/>
        <w:gridCol w:w="992"/>
        <w:gridCol w:w="992"/>
        <w:gridCol w:w="993"/>
        <w:gridCol w:w="992"/>
        <w:gridCol w:w="850"/>
      </w:tblGrid>
      <w:tr w:rsidR="008E36C4" w:rsidRPr="00364BA2" w:rsidTr="00786471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786471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E0DEE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E0DEE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1016964,2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107,6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404654,5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87,9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EF5DB9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255300,3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25,1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2382,3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0,6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307607,8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99,0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9765,5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104,2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2,4</w:t>
            </w:r>
          </w:p>
        </w:tc>
      </w:tr>
      <w:tr w:rsidR="00030DD2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250762,0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186690,8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18,4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335,7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153771,2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106,4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15964,5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3,9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8805,5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144,6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53193,4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13,1</w:t>
            </w:r>
          </w:p>
        </w:tc>
      </w:tr>
      <w:tr w:rsidR="00030DD2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</w:t>
            </w:r>
            <w:r w:rsidR="00786471">
              <w:rPr>
                <w:rFonts w:eastAsia="Times New Roman" w:cs="Times New Roman CYR"/>
                <w:bCs/>
                <w:lang w:eastAsia="ru-RU"/>
              </w:rPr>
              <w:t xml:space="preserve"> </w:t>
            </w: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="008E0DEE" w:rsidRPr="00EF5DB9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50469,6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12,5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7732,3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77,4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74133,2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18,3</w:t>
            </w:r>
          </w:p>
        </w:tc>
      </w:tr>
      <w:tr w:rsidR="00030DD2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EF5DB9" w:rsidRDefault="00030DD2" w:rsidP="002976D9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2257,3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6890,3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70,8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1,7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="008E0DEE" w:rsidRPr="00EF5DB9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42806,7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10,6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2714,0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24449,8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6,0</w:t>
            </w:r>
          </w:p>
        </w:tc>
      </w:tr>
      <w:tr w:rsidR="008E0DEE" w:rsidRPr="00364BA2" w:rsidTr="00786471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327,0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106,7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365,7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147,2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Деревина і вироби </w:t>
            </w:r>
            <w:r w:rsidR="002976D9">
              <w:rPr>
                <w:rFonts w:eastAsia="Times New Roman"/>
                <w:snapToGrid w:val="0"/>
                <w:lang w:eastAsia="ru-RU"/>
              </w:rPr>
              <w:br/>
            </w:r>
            <w:r w:rsidRPr="00364BA2">
              <w:rPr>
                <w:rFonts w:eastAsia="Times New Roman"/>
                <w:snapToGrid w:val="0"/>
                <w:lang w:eastAsia="ru-RU"/>
              </w:rPr>
              <w:t>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50633,1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18655,9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4,6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637,3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117,7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6693,2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105,1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1,7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</w:t>
            </w:r>
            <w:r w:rsidR="002976D9"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214,1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8168,2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2,0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54,9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1937,9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0,5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493,5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4797,1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1,2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EF5DB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="008E0DEE" w:rsidRPr="00EF5DB9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281,0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</w:tr>
    </w:tbl>
    <w:p w:rsidR="00E46928" w:rsidRPr="00364BA2" w:rsidRDefault="00E46928" w:rsidP="00786471">
      <w:pPr>
        <w:pageBreakBefore/>
        <w:widowControl w:val="0"/>
        <w:spacing w:after="0" w:line="240" w:lineRule="auto"/>
        <w:ind w:right="-1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  <w:r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34"/>
        <w:gridCol w:w="836"/>
        <w:gridCol w:w="992"/>
        <w:gridCol w:w="992"/>
        <w:gridCol w:w="992"/>
      </w:tblGrid>
      <w:tr w:rsidR="008E36C4" w:rsidRPr="00364BA2" w:rsidTr="00786471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786471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E0DEE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E0DEE" w:rsidRPr="002E2265">
              <w:rPr>
                <w:rFonts w:eastAsia="Times New Roman"/>
                <w:lang w:eastAsia="ru-RU"/>
              </w:rPr>
              <w:t>І півріччя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2976D9" w:rsidRPr="00364BA2" w:rsidTr="00786471">
        <w:trPr>
          <w:trHeight w:val="693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2976D9" w:rsidRPr="00364BA2" w:rsidRDefault="002976D9" w:rsidP="002976D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2976D9" w:rsidRPr="00364BA2" w:rsidRDefault="002976D9" w:rsidP="002976D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8513,9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25513,0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118,5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76D9" w:rsidRPr="00EF5DB9" w:rsidRDefault="002976D9" w:rsidP="002976D9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6,3</w:t>
            </w:r>
          </w:p>
        </w:tc>
      </w:tr>
      <w:tr w:rsidR="008E36C4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8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1270,3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95,0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8126,9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2,0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25980,2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121,1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86291,5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113,4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21,3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24629,0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123,6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66838,5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161,8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16,5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1351,2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88,3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19453,0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55,9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4,8</w:t>
            </w: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332,6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98,8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64408,8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15,9</w:t>
            </w:r>
          </w:p>
        </w:tc>
      </w:tr>
      <w:tr w:rsidR="008E36C4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EF5DB9" w:rsidRDefault="008E36C4" w:rsidP="00EF5DB9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8E0DEE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0DEE" w:rsidRPr="00364BA2" w:rsidRDefault="008E0DEE" w:rsidP="008E0DEE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332,6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98,8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62512,8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96,3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E0DEE" w:rsidRPr="00EF5DB9" w:rsidRDefault="008E0DEE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15,4</w:t>
            </w:r>
          </w:p>
        </w:tc>
      </w:tr>
      <w:tr w:rsidR="00EF5DB9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444,3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82,5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3504,9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</w:tr>
      <w:tr w:rsidR="00EF5DB9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6708,7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122,6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3792,1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120,5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0,9</w:t>
            </w:r>
          </w:p>
        </w:tc>
      </w:tr>
      <w:tr w:rsidR="00EF5DB9" w:rsidRPr="00364BA2" w:rsidTr="00786471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EF5DB9" w:rsidRPr="00364BA2" w:rsidRDefault="00EF5DB9" w:rsidP="00EF5DB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F5DB9" w:rsidRPr="00364BA2" w:rsidRDefault="00EF5DB9" w:rsidP="00EF5DB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EF5DB9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EF5DB9">
              <w:rPr>
                <w:rFonts w:asciiTheme="minorHAnsi" w:hAnsiTheme="minorHAnsi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EF5DB9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EF5DB9">
              <w:rPr>
                <w:rFonts w:asciiTheme="minorHAnsi" w:hAnsiTheme="minorHAnsi" w:cs="Times New Roman CYR"/>
              </w:rPr>
              <w:t>20,6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113,8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5DB9" w:rsidRPr="00EF5DB9" w:rsidRDefault="00EF5DB9" w:rsidP="00EF5DB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EF5DB9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7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6D9" w:rsidRDefault="002976D9">
      <w:pPr>
        <w:spacing w:after="0" w:line="240" w:lineRule="auto"/>
      </w:pPr>
      <w:r>
        <w:separator/>
      </w:r>
    </w:p>
  </w:endnote>
  <w:endnote w:type="continuationSeparator" w:id="0">
    <w:p w:rsidR="002976D9" w:rsidRDefault="0029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8708"/>
      <w:docPartObj>
        <w:docPartGallery w:val="Page Numbers (Bottom of Page)"/>
        <w:docPartUnique/>
      </w:docPartObj>
    </w:sdtPr>
    <w:sdtContent>
      <w:p w:rsidR="00786471" w:rsidRDefault="0078647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86471">
          <w:rPr>
            <w:noProof/>
            <w:lang w:val="uk-UA"/>
          </w:rPr>
          <w:t>1</w:t>
        </w:r>
        <w:r>
          <w:fldChar w:fldCharType="end"/>
        </w:r>
      </w:p>
    </w:sdtContent>
  </w:sdt>
  <w:p w:rsidR="002976D9" w:rsidRDefault="002976D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365416"/>
      <w:docPartObj>
        <w:docPartGallery w:val="Page Numbers (Bottom of Page)"/>
        <w:docPartUnique/>
      </w:docPartObj>
    </w:sdtPr>
    <w:sdtContent>
      <w:p w:rsidR="002976D9" w:rsidRDefault="002976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76D9">
          <w:rPr>
            <w:noProof/>
            <w:lang w:val="uk-UA"/>
          </w:rPr>
          <w:t>1</w:t>
        </w:r>
        <w:r>
          <w:fldChar w:fldCharType="end"/>
        </w:r>
      </w:p>
    </w:sdtContent>
  </w:sdt>
  <w:p w:rsidR="002976D9" w:rsidRDefault="002976D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097592"/>
      <w:docPartObj>
        <w:docPartGallery w:val="Page Numbers (Bottom of Page)"/>
        <w:docPartUnique/>
      </w:docPartObj>
    </w:sdtPr>
    <w:sdtContent>
      <w:p w:rsidR="002976D9" w:rsidRDefault="002976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0BB" w:rsidRPr="00E360BB">
          <w:rPr>
            <w:noProof/>
            <w:lang w:val="uk-UA"/>
          </w:rPr>
          <w:t>2</w:t>
        </w:r>
        <w:r>
          <w:fldChar w:fldCharType="end"/>
        </w:r>
      </w:p>
    </w:sdtContent>
  </w:sdt>
  <w:p w:rsidR="002976D9" w:rsidRPr="002976D9" w:rsidRDefault="002976D9" w:rsidP="002976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6D9" w:rsidRDefault="002976D9">
      <w:pPr>
        <w:spacing w:after="0" w:line="240" w:lineRule="auto"/>
      </w:pPr>
      <w:r>
        <w:separator/>
      </w:r>
    </w:p>
  </w:footnote>
  <w:footnote w:type="continuationSeparator" w:id="0">
    <w:p w:rsidR="002976D9" w:rsidRDefault="0029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764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B7"/>
    <w:rsid w:val="00181F54"/>
    <w:rsid w:val="00182113"/>
    <w:rsid w:val="001829CF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976D9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99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471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7B5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47E2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2D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784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0B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krstat.gov.ua/norm_doc/2022/449/449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vn.ukrstat.gov.ua/index.php/statistical-information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hyperlink" Target="mailto:vinstat@vn.ukrstat.gov.ua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139.80000000000001</c:v>
                </c:pt>
                <c:pt idx="1">
                  <c:v>142.4</c:v>
                </c:pt>
                <c:pt idx="2">
                  <c:v>174.8</c:v>
                </c:pt>
                <c:pt idx="3">
                  <c:v>180</c:v>
                </c:pt>
                <c:pt idx="4">
                  <c:v>171.6</c:v>
                </c:pt>
                <c:pt idx="5">
                  <c:v>162</c:v>
                </c:pt>
                <c:pt idx="6">
                  <c:v>141.5</c:v>
                </c:pt>
                <c:pt idx="7">
                  <c:v>129.80000000000001</c:v>
                </c:pt>
                <c:pt idx="8">
                  <c:v>117.3</c:v>
                </c:pt>
                <c:pt idx="9">
                  <c:v>112.4</c:v>
                </c:pt>
                <c:pt idx="10">
                  <c:v>107.3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299362495701477E-2"/>
                  <c:y val="-2.2097721122432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086966872701942E-2"/>
                  <c:y val="2.076809210855765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47812822389362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2.1553817530927336E-2"/>
                  <c:y val="2.809006543986122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97024"/>
        <c:axId val="130497584"/>
      </c:lineChart>
      <c:catAx>
        <c:axId val="13049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049758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0497584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0497024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9668233240161896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2363968221777449E-2"/>
                  <c:y val="-4.38232811949495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130.80000000000001</c:v>
                </c:pt>
                <c:pt idx="1">
                  <c:v>138.30000000000001</c:v>
                </c:pt>
                <c:pt idx="2">
                  <c:v>184.7</c:v>
                </c:pt>
                <c:pt idx="3">
                  <c:v>193.7</c:v>
                </c:pt>
                <c:pt idx="4">
                  <c:v>184.1</c:v>
                </c:pt>
                <c:pt idx="5">
                  <c:v>166.1</c:v>
                </c:pt>
                <c:pt idx="6">
                  <c:v>160.30000000000001</c:v>
                </c:pt>
                <c:pt idx="7">
                  <c:v>158.19999999999999</c:v>
                </c:pt>
                <c:pt idx="8">
                  <c:v>152.9</c:v>
                </c:pt>
                <c:pt idx="9">
                  <c:v>152.6</c:v>
                </c:pt>
                <c:pt idx="10">
                  <c:v>150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500944"/>
        <c:axId val="130501504"/>
      </c:lineChart>
      <c:catAx>
        <c:axId val="130500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050150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0501504"/>
        <c:scaling>
          <c:orientation val="minMax"/>
          <c:max val="21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0500944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47549391152533704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9FECA-E935-443A-BA33-D85D173A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5</Pages>
  <Words>6548</Words>
  <Characters>3733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10261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33</cp:revision>
  <cp:lastPrinted>2024-05-16T06:52:00Z</cp:lastPrinted>
  <dcterms:created xsi:type="dcterms:W3CDTF">2024-04-16T08:10:00Z</dcterms:created>
  <dcterms:modified xsi:type="dcterms:W3CDTF">2024-08-15T12:07:00Z</dcterms:modified>
</cp:coreProperties>
</file>