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506"/>
        <w:gridCol w:w="6133"/>
      </w:tblGrid>
      <w:tr w:rsidR="004E104B" w:rsidTr="004E104B">
        <w:trPr>
          <w:trHeight w:val="1135"/>
        </w:trPr>
        <w:tc>
          <w:tcPr>
            <w:tcW w:w="3506" w:type="dxa"/>
          </w:tcPr>
          <w:p w:rsidR="004E104B" w:rsidRPr="004E104B" w:rsidRDefault="004E104B" w:rsidP="004E104B">
            <w:pPr>
              <w:spacing w:after="0" w:line="240" w:lineRule="auto"/>
              <w:jc w:val="center"/>
              <w:rPr>
                <w:color w:val="FF0000"/>
                <w:sz w:val="2"/>
                <w:szCs w:val="2"/>
                <w:lang w:val="en-US"/>
              </w:rPr>
            </w:pPr>
            <w:r w:rsidRPr="004E104B">
              <w:rPr>
                <w:color w:val="FF0000"/>
                <w:sz w:val="2"/>
                <w:szCs w:val="2"/>
                <w:lang w:val="en-US"/>
              </w:rPr>
              <w:t xml:space="preserve">2020 </w:t>
            </w:r>
            <w:proofErr w:type="spellStart"/>
            <w:r w:rsidRPr="004E104B">
              <w:rPr>
                <w:color w:val="FF0000"/>
                <w:sz w:val="2"/>
                <w:szCs w:val="2"/>
                <w:lang w:val="en-US"/>
              </w:rPr>
              <w:t>ëèñòîïàä</w:t>
            </w:r>
            <w:proofErr w:type="spellEnd"/>
            <w:r w:rsidRPr="004E104B">
              <w:rPr>
                <w:color w:val="FF0000"/>
                <w:sz w:val="2"/>
                <w:szCs w:val="2"/>
                <w:lang w:val="en-US"/>
              </w:rPr>
              <w:tab/>
              <w:t>1.3</w:t>
            </w:r>
            <w:r w:rsidRPr="004E104B">
              <w:rPr>
                <w:noProof/>
                <w:color w:val="FF0000"/>
                <w:lang w:eastAsia="uk-UA"/>
              </w:rPr>
              <w:drawing>
                <wp:anchor distT="0" distB="0" distL="114300" distR="114300" simplePos="0" relativeHeight="251658240" behindDoc="0" locked="0" layoutInCell="1" allowOverlap="1" wp14:anchorId="199E5B5E" wp14:editId="6B23E80F">
                  <wp:simplePos x="0" y="0"/>
                  <wp:positionH relativeFrom="column">
                    <wp:posOffset>611505</wp:posOffset>
                  </wp:positionH>
                  <wp:positionV relativeFrom="paragraph">
                    <wp:posOffset>12065</wp:posOffset>
                  </wp:positionV>
                  <wp:extent cx="698500" cy="698500"/>
                  <wp:effectExtent l="0" t="0" r="6350" b="63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r w:rsidRPr="004E104B">
              <w:rPr>
                <w:color w:val="FF0000"/>
                <w:sz w:val="2"/>
                <w:szCs w:val="2"/>
                <w:lang w:val="en-US"/>
              </w:rPr>
              <w:t xml:space="preserve">                                                                                                                                 </w:t>
            </w:r>
          </w:p>
        </w:tc>
        <w:tc>
          <w:tcPr>
            <w:tcW w:w="6133" w:type="dxa"/>
            <w:vMerge w:val="restart"/>
            <w:vAlign w:val="center"/>
          </w:tcPr>
          <w:p w:rsidR="004E104B" w:rsidRDefault="004E104B" w:rsidP="004E104B">
            <w:pPr>
              <w:spacing w:after="0" w:line="240" w:lineRule="auto"/>
              <w:jc w:val="center"/>
              <w:rPr>
                <w:rFonts w:ascii="Verdana" w:hAnsi="Verdana"/>
                <w:color w:val="2F5496"/>
              </w:rPr>
            </w:pPr>
            <w:r>
              <w:rPr>
                <w:rFonts w:ascii="Verdana" w:hAnsi="Verdana"/>
                <w:color w:val="2F5496"/>
                <w:sz w:val="52"/>
                <w:szCs w:val="52"/>
              </w:rPr>
              <w:t>ЕКСПРЕС-ВИПУСК</w:t>
            </w:r>
          </w:p>
        </w:tc>
      </w:tr>
      <w:tr w:rsidR="004E104B" w:rsidTr="004E104B">
        <w:trPr>
          <w:trHeight w:val="624"/>
        </w:trPr>
        <w:tc>
          <w:tcPr>
            <w:tcW w:w="3506" w:type="dxa"/>
            <w:vAlign w:val="center"/>
          </w:tcPr>
          <w:p w:rsidR="004E104B" w:rsidRPr="004E104B" w:rsidRDefault="004E104B" w:rsidP="004E104B">
            <w:pPr>
              <w:spacing w:after="0" w:line="240" w:lineRule="auto"/>
              <w:jc w:val="center"/>
              <w:rPr>
                <w:rFonts w:ascii="Verdana" w:hAnsi="Verdana"/>
                <w:b/>
                <w:color w:val="1F4E79" w:themeColor="accent1" w:themeShade="80"/>
                <w:lang w:eastAsia="uk-UA"/>
              </w:rPr>
            </w:pPr>
            <w:proofErr w:type="spellStart"/>
            <w:r w:rsidRPr="004E104B">
              <w:rPr>
                <w:rFonts w:ascii="Verdana" w:hAnsi="Verdana"/>
                <w:b/>
                <w:color w:val="1F4E79" w:themeColor="accent1" w:themeShade="80"/>
                <w:lang w:eastAsia="uk-UA"/>
              </w:rPr>
              <w:t>Держстат</w:t>
            </w:r>
            <w:proofErr w:type="spellEnd"/>
          </w:p>
          <w:p w:rsidR="004E104B" w:rsidRPr="004E104B" w:rsidRDefault="004E104B" w:rsidP="004E104B">
            <w:pPr>
              <w:spacing w:after="0" w:line="240" w:lineRule="auto"/>
              <w:jc w:val="center"/>
              <w:rPr>
                <w:rFonts w:ascii="Verdana" w:hAnsi="Verdana"/>
                <w:b/>
                <w:color w:val="1F4E79" w:themeColor="accent1" w:themeShade="80"/>
                <w:lang w:eastAsia="uk-UA"/>
              </w:rPr>
            </w:pPr>
            <w:r w:rsidRPr="004E104B">
              <w:rPr>
                <w:rFonts w:ascii="Verdana" w:hAnsi="Verdana"/>
                <w:b/>
                <w:color w:val="1F4E79" w:themeColor="accent1" w:themeShade="80"/>
                <w:lang w:eastAsia="uk-UA"/>
              </w:rPr>
              <w:t>Головне управління статистики</w:t>
            </w:r>
          </w:p>
          <w:p w:rsidR="004E104B" w:rsidRPr="004E104B" w:rsidRDefault="004E104B" w:rsidP="004E104B">
            <w:pPr>
              <w:spacing w:after="0" w:line="240" w:lineRule="auto"/>
              <w:jc w:val="center"/>
              <w:rPr>
                <w:b/>
                <w:color w:val="1F4E79" w:themeColor="accent1" w:themeShade="80"/>
                <w:lang w:eastAsia="uk-UA"/>
              </w:rPr>
            </w:pPr>
            <w:r w:rsidRPr="004E104B">
              <w:rPr>
                <w:rFonts w:ascii="Verdana" w:hAnsi="Verdana"/>
                <w:b/>
                <w:color w:val="1F4E79" w:themeColor="accent1" w:themeShade="80"/>
                <w:lang w:eastAsia="uk-UA"/>
              </w:rPr>
              <w:t>у Вінницькій області</w:t>
            </w:r>
          </w:p>
        </w:tc>
        <w:tc>
          <w:tcPr>
            <w:tcW w:w="6133" w:type="dxa"/>
            <w:vMerge/>
            <w:vAlign w:val="center"/>
          </w:tcPr>
          <w:p w:rsidR="004E104B" w:rsidRDefault="004E104B" w:rsidP="004E104B">
            <w:pPr>
              <w:spacing w:after="0" w:line="240" w:lineRule="auto"/>
              <w:rPr>
                <w:rFonts w:ascii="Verdana" w:hAnsi="Verdana"/>
                <w:color w:val="2F5496"/>
              </w:rPr>
            </w:pPr>
          </w:p>
        </w:tc>
      </w:tr>
      <w:tr w:rsidR="004E104B" w:rsidTr="004E104B">
        <w:trPr>
          <w:trHeight w:val="397"/>
        </w:trPr>
        <w:tc>
          <w:tcPr>
            <w:tcW w:w="3506" w:type="dxa"/>
            <w:vAlign w:val="center"/>
          </w:tcPr>
          <w:p w:rsidR="004E104B" w:rsidRPr="004E104B" w:rsidRDefault="004E104B" w:rsidP="004E104B">
            <w:pPr>
              <w:spacing w:after="0" w:line="240" w:lineRule="auto"/>
              <w:jc w:val="center"/>
              <w:rPr>
                <w:rFonts w:ascii="Verdana" w:hAnsi="Verdana"/>
                <w:b/>
                <w:color w:val="1F4E79" w:themeColor="accent1" w:themeShade="80"/>
                <w:lang w:eastAsia="uk-UA"/>
              </w:rPr>
            </w:pPr>
            <w:r w:rsidRPr="004E104B">
              <w:rPr>
                <w:rFonts w:ascii="Verdana" w:hAnsi="Verdana"/>
                <w:b/>
                <w:color w:val="1F4E79" w:themeColor="accent1" w:themeShade="80"/>
                <w:sz w:val="20"/>
              </w:rPr>
              <w:t>www.vn.ukrstat.gov.ua</w:t>
            </w:r>
          </w:p>
        </w:tc>
        <w:tc>
          <w:tcPr>
            <w:tcW w:w="6133" w:type="dxa"/>
            <w:vAlign w:val="center"/>
          </w:tcPr>
          <w:p w:rsidR="004E104B" w:rsidRDefault="004E104B" w:rsidP="004E104B">
            <w:pPr>
              <w:spacing w:after="0" w:line="240" w:lineRule="auto"/>
              <w:jc w:val="center"/>
            </w:pPr>
          </w:p>
        </w:tc>
      </w:tr>
      <w:tr w:rsidR="004E104B" w:rsidTr="004E104B">
        <w:trPr>
          <w:trHeight w:val="170"/>
        </w:trPr>
        <w:tc>
          <w:tcPr>
            <w:tcW w:w="3506" w:type="dxa"/>
            <w:shd w:val="clear" w:color="auto" w:fill="0066FF"/>
          </w:tcPr>
          <w:p w:rsidR="004E104B" w:rsidRPr="004E104B" w:rsidRDefault="004E104B" w:rsidP="004E104B">
            <w:pPr>
              <w:spacing w:after="0" w:line="240" w:lineRule="auto"/>
              <w:rPr>
                <w:color w:val="FF0000"/>
                <w:sz w:val="12"/>
                <w:szCs w:val="12"/>
              </w:rPr>
            </w:pPr>
          </w:p>
        </w:tc>
        <w:tc>
          <w:tcPr>
            <w:tcW w:w="6133" w:type="dxa"/>
            <w:shd w:val="clear" w:color="auto" w:fill="0066FF"/>
          </w:tcPr>
          <w:p w:rsidR="004E104B" w:rsidRDefault="004E104B" w:rsidP="004E104B">
            <w:pPr>
              <w:spacing w:after="0" w:line="240" w:lineRule="auto"/>
              <w:rPr>
                <w:color w:val="2F5496"/>
                <w:sz w:val="12"/>
                <w:szCs w:val="12"/>
              </w:rPr>
            </w:pPr>
          </w:p>
        </w:tc>
      </w:tr>
      <w:tr w:rsidR="004E104B" w:rsidTr="004E104B">
        <w:trPr>
          <w:trHeight w:val="170"/>
        </w:trPr>
        <w:tc>
          <w:tcPr>
            <w:tcW w:w="3506" w:type="dxa"/>
            <w:shd w:val="clear" w:color="auto" w:fill="FFFF00"/>
          </w:tcPr>
          <w:p w:rsidR="004E104B" w:rsidRPr="004E104B" w:rsidRDefault="004E104B" w:rsidP="004E104B">
            <w:pPr>
              <w:spacing w:after="0" w:line="240" w:lineRule="auto"/>
              <w:rPr>
                <w:color w:val="FF0000"/>
                <w:sz w:val="12"/>
                <w:szCs w:val="12"/>
              </w:rPr>
            </w:pPr>
            <w:r w:rsidRPr="004E104B">
              <w:rPr>
                <w:color w:val="FF0000"/>
                <w:sz w:val="12"/>
                <w:szCs w:val="12"/>
              </w:rPr>
              <w:t xml:space="preserve">                   </w:t>
            </w:r>
          </w:p>
        </w:tc>
        <w:tc>
          <w:tcPr>
            <w:tcW w:w="6133" w:type="dxa"/>
            <w:shd w:val="clear" w:color="auto" w:fill="FFFF00"/>
          </w:tcPr>
          <w:p w:rsidR="004E104B" w:rsidRDefault="004E104B" w:rsidP="004E104B">
            <w:pPr>
              <w:spacing w:after="0" w:line="240" w:lineRule="auto"/>
              <w:rPr>
                <w:color w:val="2F5496"/>
                <w:sz w:val="12"/>
                <w:szCs w:val="12"/>
              </w:rPr>
            </w:pPr>
          </w:p>
        </w:tc>
      </w:tr>
    </w:tbl>
    <w:p w:rsidR="005532B6" w:rsidRPr="004E104B" w:rsidRDefault="00816548" w:rsidP="004E104B">
      <w:pPr>
        <w:spacing w:before="120" w:after="0" w:line="240" w:lineRule="auto"/>
        <w:rPr>
          <w:rFonts w:eastAsia="Times New Roman"/>
          <w:sz w:val="26"/>
          <w:szCs w:val="26"/>
          <w:lang w:eastAsia="ru-RU"/>
        </w:rPr>
      </w:pPr>
      <w:r w:rsidRPr="004E104B">
        <w:rPr>
          <w:rFonts w:eastAsia="Times New Roman"/>
          <w:sz w:val="26"/>
          <w:szCs w:val="26"/>
          <w:lang w:eastAsia="ru-RU"/>
        </w:rPr>
        <w:t>1</w:t>
      </w:r>
      <w:r w:rsidR="003C2987" w:rsidRPr="004E104B">
        <w:rPr>
          <w:rFonts w:eastAsia="Times New Roman"/>
          <w:sz w:val="26"/>
          <w:szCs w:val="26"/>
          <w:lang w:eastAsia="ru-RU"/>
        </w:rPr>
        <w:t>8</w:t>
      </w:r>
      <w:r w:rsidR="005532B6" w:rsidRPr="004E104B">
        <w:rPr>
          <w:rFonts w:eastAsia="Times New Roman"/>
          <w:sz w:val="26"/>
          <w:szCs w:val="26"/>
          <w:lang w:eastAsia="ru-RU"/>
        </w:rPr>
        <w:t>.</w:t>
      </w:r>
      <w:r w:rsidR="004C524E" w:rsidRPr="004E104B">
        <w:rPr>
          <w:rFonts w:eastAsia="Times New Roman"/>
          <w:sz w:val="26"/>
          <w:szCs w:val="26"/>
          <w:lang w:eastAsia="ru-RU"/>
        </w:rPr>
        <w:t>1</w:t>
      </w:r>
      <w:r w:rsidR="003C2987" w:rsidRPr="004E104B">
        <w:rPr>
          <w:rFonts w:eastAsia="Times New Roman"/>
          <w:sz w:val="26"/>
          <w:szCs w:val="26"/>
          <w:lang w:eastAsia="ru-RU"/>
        </w:rPr>
        <w:t>2</w:t>
      </w:r>
      <w:r w:rsidR="005532B6" w:rsidRPr="004E104B">
        <w:rPr>
          <w:rFonts w:eastAsia="Times New Roman"/>
          <w:sz w:val="26"/>
          <w:szCs w:val="26"/>
          <w:lang w:eastAsia="ru-RU"/>
        </w:rPr>
        <w:t>.202</w:t>
      </w:r>
      <w:r w:rsidR="00973EDD" w:rsidRPr="004E104B">
        <w:rPr>
          <w:rFonts w:eastAsia="Times New Roman"/>
          <w:sz w:val="26"/>
          <w:szCs w:val="26"/>
          <w:lang w:eastAsia="ru-RU"/>
        </w:rPr>
        <w:t>3</w:t>
      </w:r>
    </w:p>
    <w:p w:rsidR="00B52C22" w:rsidRPr="00364BA2" w:rsidRDefault="00B52C22" w:rsidP="00E46928">
      <w:pPr>
        <w:spacing w:after="0" w:line="240" w:lineRule="auto"/>
        <w:jc w:val="center"/>
        <w:rPr>
          <w:rFonts w:eastAsia="Times New Roman"/>
          <w:b/>
          <w:sz w:val="26"/>
          <w:szCs w:val="26"/>
          <w:lang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області </w:t>
      </w:r>
      <w:r w:rsidR="004E104B">
        <w:rPr>
          <w:rFonts w:eastAsia="Times New Roman"/>
          <w:b/>
          <w:sz w:val="26"/>
          <w:szCs w:val="26"/>
          <w:lang w:eastAsia="ru-RU"/>
        </w:rPr>
        <w:br/>
      </w:r>
      <w:r w:rsidR="008A7A16">
        <w:rPr>
          <w:rFonts w:eastAsia="Times New Roman"/>
          <w:b/>
          <w:sz w:val="26"/>
          <w:szCs w:val="26"/>
          <w:lang w:eastAsia="ru-RU"/>
        </w:rPr>
        <w:t>у</w:t>
      </w:r>
      <w:r w:rsidR="004C524E">
        <w:rPr>
          <w:rFonts w:eastAsia="Times New Roman"/>
          <w:b/>
          <w:sz w:val="26"/>
          <w:szCs w:val="26"/>
          <w:lang w:eastAsia="ru-RU"/>
        </w:rPr>
        <w:t xml:space="preserve"> </w:t>
      </w:r>
      <w:r w:rsidR="00F870DC">
        <w:rPr>
          <w:rFonts w:eastAsia="Times New Roman"/>
          <w:b/>
          <w:sz w:val="26"/>
          <w:szCs w:val="26"/>
          <w:lang w:eastAsia="ru-RU"/>
        </w:rPr>
        <w:t>січн</w:t>
      </w:r>
      <w:r w:rsidR="008A7A16">
        <w:rPr>
          <w:rFonts w:eastAsia="Times New Roman"/>
          <w:b/>
          <w:sz w:val="26"/>
          <w:szCs w:val="26"/>
          <w:lang w:eastAsia="ru-RU"/>
        </w:rPr>
        <w:t>і</w:t>
      </w:r>
      <w:r w:rsidR="00F870DC">
        <w:rPr>
          <w:rFonts w:eastAsia="Times New Roman"/>
          <w:b/>
          <w:sz w:val="26"/>
          <w:szCs w:val="26"/>
          <w:lang w:eastAsia="ru-RU"/>
        </w:rPr>
        <w:t>–жовтн</w:t>
      </w:r>
      <w:r w:rsidR="008A7A16">
        <w:rPr>
          <w:rFonts w:eastAsia="Times New Roman"/>
          <w:b/>
          <w:sz w:val="26"/>
          <w:szCs w:val="26"/>
          <w:lang w:eastAsia="ru-RU"/>
        </w:rPr>
        <w:t>і</w:t>
      </w:r>
      <w:r w:rsidR="00056E4F" w:rsidRPr="00364BA2">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spacing w:after="0" w:line="240" w:lineRule="auto"/>
        <w:jc w:val="both"/>
        <w:rPr>
          <w:rFonts w:eastAsia="Times New Roman"/>
          <w:color w:val="FF0000"/>
          <w:sz w:val="26"/>
          <w:szCs w:val="26"/>
          <w:lang w:eastAsia="ru-RU"/>
        </w:rPr>
      </w:pPr>
    </w:p>
    <w:p w:rsidR="00C87424" w:rsidRPr="00364BA2"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8A7A16">
        <w:rPr>
          <w:rFonts w:eastAsia="Times New Roman"/>
          <w:sz w:val="26"/>
          <w:szCs w:val="26"/>
          <w:lang w:eastAsia="ru-RU"/>
        </w:rPr>
        <w:t>У</w:t>
      </w:r>
      <w:r w:rsidR="004C524E">
        <w:rPr>
          <w:rFonts w:eastAsia="Times New Roman"/>
          <w:sz w:val="26"/>
          <w:szCs w:val="26"/>
          <w:lang w:eastAsia="ru-RU"/>
        </w:rPr>
        <w:t xml:space="preserve"> </w:t>
      </w:r>
      <w:r w:rsidR="00F870DC">
        <w:rPr>
          <w:rFonts w:eastAsia="Times New Roman"/>
          <w:sz w:val="26"/>
          <w:szCs w:val="26"/>
          <w:lang w:eastAsia="ru-RU"/>
        </w:rPr>
        <w:t>січн</w:t>
      </w:r>
      <w:r w:rsidR="008A7A16">
        <w:rPr>
          <w:rFonts w:eastAsia="Times New Roman"/>
          <w:sz w:val="26"/>
          <w:szCs w:val="26"/>
          <w:lang w:eastAsia="ru-RU"/>
        </w:rPr>
        <w:t>і</w:t>
      </w:r>
      <w:r w:rsidR="00F870DC">
        <w:rPr>
          <w:rFonts w:eastAsia="Times New Roman"/>
          <w:sz w:val="26"/>
          <w:szCs w:val="26"/>
          <w:lang w:eastAsia="ru-RU"/>
        </w:rPr>
        <w:t>–жовтн</w:t>
      </w:r>
      <w:r w:rsidR="008A7A16">
        <w:rPr>
          <w:rFonts w:eastAsia="Times New Roman"/>
          <w:sz w:val="26"/>
          <w:szCs w:val="26"/>
          <w:lang w:eastAsia="ru-RU"/>
        </w:rPr>
        <w:t>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202</w:t>
      </w:r>
      <w:r w:rsidR="00DF1F0F" w:rsidRPr="00364BA2">
        <w:rPr>
          <w:rFonts w:eastAsia="Times New Roman"/>
          <w:sz w:val="26"/>
          <w:szCs w:val="26"/>
          <w:lang w:eastAsia="ru-RU"/>
        </w:rPr>
        <w:t>3</w:t>
      </w:r>
      <w:r w:rsidR="00C87424" w:rsidRPr="00364BA2">
        <w:rPr>
          <w:rFonts w:eastAsia="Times New Roman"/>
          <w:sz w:val="26"/>
          <w:szCs w:val="26"/>
          <w:lang w:eastAsia="ru-RU"/>
        </w:rPr>
        <w:t xml:space="preserve">р. експорт товарів становив </w:t>
      </w:r>
      <w:r w:rsidR="00F870DC">
        <w:rPr>
          <w:rFonts w:eastAsia="Times New Roman"/>
          <w:color w:val="000000" w:themeColor="text1"/>
          <w:sz w:val="26"/>
          <w:szCs w:val="26"/>
          <w:lang w:eastAsia="ru-RU"/>
        </w:rPr>
        <w:t>1263901,4</w:t>
      </w:r>
      <w:r w:rsidR="00F154E4"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 xml:space="preserve">. США, </w:t>
      </w:r>
      <w:r w:rsidR="00A248BE" w:rsidRPr="00364BA2">
        <w:rPr>
          <w:rFonts w:eastAsia="Times New Roman"/>
          <w:sz w:val="26"/>
          <w:szCs w:val="26"/>
          <w:lang w:eastAsia="ru-RU"/>
        </w:rPr>
        <w:t xml:space="preserve">або </w:t>
      </w:r>
      <w:r w:rsidR="00F870DC">
        <w:rPr>
          <w:rFonts w:eastAsia="Times New Roman"/>
          <w:sz w:val="26"/>
          <w:szCs w:val="26"/>
          <w:lang w:eastAsia="ru-RU"/>
        </w:rPr>
        <w:t>100,8</w:t>
      </w:r>
      <w:r w:rsidR="00A248BE" w:rsidRPr="00364BA2">
        <w:rPr>
          <w:rFonts w:eastAsia="Times New Roman"/>
          <w:sz w:val="26"/>
          <w:szCs w:val="26"/>
          <w:lang w:eastAsia="ru-RU"/>
        </w:rPr>
        <w:t xml:space="preserve">% порівняно з </w:t>
      </w:r>
      <w:r w:rsidR="00F870DC">
        <w:rPr>
          <w:rFonts w:eastAsia="Times New Roman"/>
          <w:sz w:val="26"/>
          <w:szCs w:val="26"/>
          <w:lang w:eastAsia="ru-RU"/>
        </w:rPr>
        <w:t>січнем–жовтнем</w:t>
      </w:r>
      <w:r w:rsidR="00DF1F0F" w:rsidRPr="00364BA2">
        <w:rPr>
          <w:rFonts w:eastAsia="Times New Roman"/>
          <w:sz w:val="26"/>
          <w:szCs w:val="26"/>
          <w:lang w:eastAsia="ru-RU"/>
        </w:rPr>
        <w:t xml:space="preserve"> </w:t>
      </w:r>
      <w:r w:rsidR="00C554E1" w:rsidRPr="00364BA2">
        <w:rPr>
          <w:rFonts w:eastAsia="Times New Roman"/>
          <w:sz w:val="26"/>
          <w:szCs w:val="26"/>
          <w:lang w:eastAsia="ru-RU"/>
        </w:rPr>
        <w:t>202</w:t>
      </w:r>
      <w:r w:rsidR="00DF1F0F" w:rsidRPr="00364BA2">
        <w:rPr>
          <w:rFonts w:eastAsia="Times New Roman"/>
          <w:sz w:val="26"/>
          <w:szCs w:val="26"/>
          <w:lang w:eastAsia="ru-RU"/>
        </w:rPr>
        <w:t>2</w:t>
      </w:r>
      <w:r w:rsidR="00C554E1" w:rsidRPr="00364BA2">
        <w:rPr>
          <w:rFonts w:eastAsia="Times New Roman"/>
          <w:sz w:val="26"/>
          <w:szCs w:val="26"/>
          <w:lang w:eastAsia="ru-RU"/>
        </w:rPr>
        <w:t>р.</w:t>
      </w:r>
      <w:r w:rsidR="00A248BE" w:rsidRPr="00364BA2">
        <w:rPr>
          <w:rFonts w:eastAsia="Times New Roman"/>
          <w:sz w:val="26"/>
          <w:szCs w:val="26"/>
          <w:lang w:eastAsia="ru-RU"/>
        </w:rPr>
        <w:t xml:space="preserve">, </w:t>
      </w:r>
      <w:r w:rsidR="00C87424" w:rsidRPr="00364BA2">
        <w:rPr>
          <w:rFonts w:eastAsia="Times New Roman"/>
          <w:sz w:val="26"/>
          <w:szCs w:val="26"/>
          <w:lang w:eastAsia="ru-RU"/>
        </w:rPr>
        <w:t xml:space="preserve">імпорт – </w:t>
      </w:r>
      <w:r w:rsidR="00F870DC">
        <w:rPr>
          <w:rFonts w:eastAsia="Times New Roman"/>
          <w:color w:val="000000" w:themeColor="text1"/>
          <w:sz w:val="26"/>
          <w:szCs w:val="26"/>
          <w:lang w:eastAsia="ru-RU"/>
        </w:rPr>
        <w:t>755265,0</w:t>
      </w:r>
      <w:r w:rsidR="003B635A"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9D499C" w:rsidRPr="00364BA2">
        <w:rPr>
          <w:rFonts w:eastAsia="Times New Roman"/>
          <w:sz w:val="26"/>
          <w:szCs w:val="26"/>
          <w:lang w:eastAsia="ru-RU"/>
        </w:rPr>
        <w:t>,</w:t>
      </w:r>
      <w:r w:rsidR="00C87424" w:rsidRPr="00364BA2">
        <w:rPr>
          <w:rFonts w:eastAsia="Times New Roman"/>
          <w:sz w:val="26"/>
          <w:szCs w:val="26"/>
          <w:lang w:eastAsia="ru-RU"/>
        </w:rPr>
        <w:t xml:space="preserve"> </w:t>
      </w:r>
      <w:r w:rsidR="00A248BE" w:rsidRPr="00364BA2">
        <w:rPr>
          <w:rFonts w:eastAsia="Times New Roman"/>
          <w:sz w:val="26"/>
          <w:szCs w:val="26"/>
          <w:lang w:eastAsia="ru-RU"/>
        </w:rPr>
        <w:t xml:space="preserve">або </w:t>
      </w:r>
      <w:r w:rsidR="004C524E">
        <w:rPr>
          <w:rFonts w:eastAsia="Times New Roman"/>
          <w:sz w:val="26"/>
          <w:szCs w:val="26"/>
          <w:lang w:eastAsia="ru-RU"/>
        </w:rPr>
        <w:t>151,2</w:t>
      </w:r>
      <w:r w:rsidR="00A248BE" w:rsidRPr="00364BA2">
        <w:rPr>
          <w:rFonts w:eastAsia="Times New Roman"/>
          <w:sz w:val="26"/>
          <w:szCs w:val="26"/>
          <w:lang w:eastAsia="ru-RU"/>
        </w:rPr>
        <w:t xml:space="preserve">%. </w:t>
      </w:r>
      <w:r w:rsidR="00C87424" w:rsidRPr="00364BA2">
        <w:rPr>
          <w:rFonts w:eastAsia="Times New Roman"/>
          <w:sz w:val="26"/>
          <w:szCs w:val="26"/>
          <w:lang w:eastAsia="ru-RU"/>
        </w:rPr>
        <w:t>Позитивне сальдо с</w:t>
      </w:r>
      <w:r w:rsidR="00A248BE" w:rsidRPr="00364BA2">
        <w:rPr>
          <w:rFonts w:eastAsia="Times New Roman"/>
          <w:sz w:val="26"/>
          <w:szCs w:val="26"/>
          <w:lang w:eastAsia="ru-RU"/>
        </w:rPr>
        <w:t>клало</w:t>
      </w:r>
      <w:r w:rsidR="00C87424" w:rsidRPr="00364BA2">
        <w:rPr>
          <w:rFonts w:eastAsia="Times New Roman"/>
          <w:sz w:val="26"/>
          <w:szCs w:val="26"/>
          <w:lang w:eastAsia="ru-RU"/>
        </w:rPr>
        <w:t xml:space="preserve"> </w:t>
      </w:r>
      <w:r w:rsidR="00F870DC">
        <w:rPr>
          <w:rFonts w:eastAsia="Times New Roman"/>
          <w:color w:val="000000" w:themeColor="text1"/>
          <w:sz w:val="26"/>
          <w:szCs w:val="26"/>
          <w:lang w:val="ru-RU" w:eastAsia="ru-RU"/>
        </w:rPr>
        <w:t>508636,4</w:t>
      </w:r>
      <w:r w:rsidR="00D11CD5">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872633" w:rsidRPr="00364BA2">
        <w:rPr>
          <w:rFonts w:eastAsia="Times New Roman"/>
          <w:sz w:val="26"/>
          <w:szCs w:val="26"/>
          <w:lang w:eastAsia="ru-RU"/>
        </w:rPr>
        <w:t xml:space="preserve"> </w:t>
      </w:r>
      <w:r w:rsidR="00C87424" w:rsidRPr="00364BA2">
        <w:rPr>
          <w:rFonts w:eastAsia="Times New Roman"/>
          <w:sz w:val="26"/>
          <w:szCs w:val="26"/>
          <w:lang w:eastAsia="ru-RU"/>
        </w:rPr>
        <w:t>(</w:t>
      </w:r>
      <w:r w:rsidR="008A7A16">
        <w:rPr>
          <w:rFonts w:eastAsia="Times New Roman"/>
          <w:sz w:val="26"/>
          <w:szCs w:val="26"/>
          <w:lang w:eastAsia="ru-RU"/>
        </w:rPr>
        <w:t>у</w:t>
      </w:r>
      <w:r w:rsidR="004C524E">
        <w:rPr>
          <w:rFonts w:eastAsia="Times New Roman"/>
          <w:sz w:val="26"/>
          <w:szCs w:val="26"/>
          <w:lang w:eastAsia="ru-RU"/>
        </w:rPr>
        <w:t xml:space="preserve"> </w:t>
      </w:r>
      <w:r w:rsidR="008A7A16">
        <w:rPr>
          <w:rFonts w:eastAsia="Times New Roman"/>
          <w:sz w:val="26"/>
          <w:szCs w:val="26"/>
          <w:lang w:eastAsia="ru-RU"/>
        </w:rPr>
        <w:t>січні–жовтні</w:t>
      </w:r>
      <w:r w:rsidR="00DF1F0F" w:rsidRPr="008D426F">
        <w:rPr>
          <w:rFonts w:eastAsia="Times New Roman"/>
          <w:sz w:val="26"/>
          <w:szCs w:val="26"/>
          <w:lang w:eastAsia="ru-RU"/>
        </w:rPr>
        <w:t xml:space="preserve"> </w:t>
      </w:r>
      <w:r w:rsidR="00C87424" w:rsidRPr="008D426F">
        <w:rPr>
          <w:rFonts w:eastAsia="Times New Roman"/>
          <w:sz w:val="26"/>
          <w:szCs w:val="26"/>
          <w:lang w:eastAsia="ru-RU"/>
        </w:rPr>
        <w:t>20</w:t>
      </w:r>
      <w:r w:rsidR="00997BE7" w:rsidRPr="008D426F">
        <w:rPr>
          <w:rFonts w:eastAsia="Times New Roman"/>
          <w:sz w:val="26"/>
          <w:szCs w:val="26"/>
          <w:lang w:eastAsia="ru-RU"/>
        </w:rPr>
        <w:t>2</w:t>
      </w:r>
      <w:r w:rsidR="00DF1F0F" w:rsidRPr="008D426F">
        <w:rPr>
          <w:rFonts w:eastAsia="Times New Roman"/>
          <w:sz w:val="26"/>
          <w:szCs w:val="26"/>
          <w:lang w:eastAsia="ru-RU"/>
        </w:rPr>
        <w:t>2</w:t>
      </w:r>
      <w:r w:rsidR="00C87424" w:rsidRPr="008D426F">
        <w:rPr>
          <w:rFonts w:eastAsia="Times New Roman"/>
          <w:sz w:val="26"/>
          <w:szCs w:val="26"/>
          <w:lang w:eastAsia="ru-RU"/>
        </w:rPr>
        <w:t>р.</w:t>
      </w:r>
      <w:r w:rsidR="0025605A" w:rsidRPr="008D426F">
        <w:rPr>
          <w:rFonts w:eastAsia="Times New Roman"/>
          <w:sz w:val="26"/>
          <w:szCs w:val="26"/>
          <w:lang w:eastAsia="ru-RU"/>
        </w:rPr>
        <w:t xml:space="preserve"> </w:t>
      </w:r>
      <w:r w:rsidR="00C87424" w:rsidRPr="00364BA2">
        <w:rPr>
          <w:rFonts w:eastAsia="Times New Roman"/>
          <w:sz w:val="26"/>
          <w:szCs w:val="26"/>
          <w:lang w:eastAsia="ru-RU"/>
        </w:rPr>
        <w:t>також</w:t>
      </w:r>
      <w:r w:rsidR="00827B84" w:rsidRPr="00364BA2">
        <w:rPr>
          <w:rFonts w:eastAsia="Times New Roman"/>
          <w:sz w:val="26"/>
          <w:szCs w:val="26"/>
          <w:lang w:eastAsia="ru-RU"/>
        </w:rPr>
        <w:t xml:space="preserve"> </w:t>
      </w:r>
      <w:r w:rsidR="00C87424" w:rsidRPr="00364BA2">
        <w:rPr>
          <w:rFonts w:eastAsia="Times New Roman"/>
          <w:sz w:val="26"/>
          <w:szCs w:val="26"/>
          <w:lang w:eastAsia="ru-RU"/>
        </w:rPr>
        <w:t xml:space="preserve">позитивне – </w:t>
      </w:r>
      <w:r w:rsidR="00F870DC">
        <w:rPr>
          <w:rFonts w:eastAsia="Times New Roman"/>
          <w:color w:val="000000" w:themeColor="text1"/>
          <w:sz w:val="26"/>
          <w:szCs w:val="26"/>
          <w:lang w:val="ru-RU" w:eastAsia="ru-RU"/>
        </w:rPr>
        <w:t>754949,1</w:t>
      </w:r>
      <w:r w:rsidR="00D11CD5">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p>
    <w:p w:rsidR="00C87424" w:rsidRPr="00364BA2" w:rsidRDefault="00C87424" w:rsidP="00C87424">
      <w:pPr>
        <w:spacing w:after="0" w:line="240" w:lineRule="auto"/>
        <w:ind w:firstLine="708"/>
        <w:jc w:val="both"/>
        <w:rPr>
          <w:rFonts w:eastAsia="Times New Roman"/>
          <w:sz w:val="26"/>
          <w:szCs w:val="26"/>
          <w:lang w:eastAsia="ru-RU"/>
        </w:rPr>
      </w:pPr>
      <w:r w:rsidRPr="00364BA2">
        <w:rPr>
          <w:rFonts w:eastAsia="Times New Roman"/>
          <w:sz w:val="26"/>
          <w:szCs w:val="26"/>
          <w:lang w:eastAsia="ru-RU"/>
        </w:rPr>
        <w:t xml:space="preserve">Коефіцієнт покриття експортом імпорту </w:t>
      </w:r>
      <w:r w:rsidR="008F36C6" w:rsidRPr="00364BA2">
        <w:rPr>
          <w:rFonts w:eastAsia="Times New Roman"/>
          <w:sz w:val="26"/>
          <w:szCs w:val="26"/>
          <w:lang w:eastAsia="ru-RU"/>
        </w:rPr>
        <w:t>склав</w:t>
      </w:r>
      <w:r w:rsidRPr="00364BA2">
        <w:rPr>
          <w:rFonts w:eastAsia="Times New Roman"/>
          <w:sz w:val="26"/>
          <w:szCs w:val="26"/>
          <w:lang w:eastAsia="ru-RU"/>
        </w:rPr>
        <w:t xml:space="preserve"> </w:t>
      </w:r>
      <w:r w:rsidR="004C524E">
        <w:rPr>
          <w:rFonts w:eastAsia="Times New Roman"/>
          <w:color w:val="000000" w:themeColor="text1"/>
          <w:sz w:val="26"/>
          <w:szCs w:val="26"/>
          <w:lang w:val="ru-RU" w:eastAsia="ru-RU"/>
        </w:rPr>
        <w:t>1,</w:t>
      </w:r>
      <w:r w:rsidR="00F870DC">
        <w:rPr>
          <w:rFonts w:eastAsia="Times New Roman"/>
          <w:color w:val="000000" w:themeColor="text1"/>
          <w:sz w:val="26"/>
          <w:szCs w:val="26"/>
          <w:lang w:val="ru-RU" w:eastAsia="ru-RU"/>
        </w:rPr>
        <w:t>67</w:t>
      </w:r>
      <w:r w:rsidRPr="00364BA2">
        <w:rPr>
          <w:rFonts w:eastAsia="Times New Roman"/>
          <w:color w:val="000000" w:themeColor="text1"/>
          <w:sz w:val="26"/>
          <w:szCs w:val="26"/>
          <w:lang w:eastAsia="ru-RU"/>
        </w:rPr>
        <w:t xml:space="preserve"> </w:t>
      </w:r>
      <w:r w:rsidRPr="00364BA2">
        <w:rPr>
          <w:rFonts w:eastAsia="Times New Roman"/>
          <w:sz w:val="26"/>
          <w:szCs w:val="26"/>
          <w:lang w:eastAsia="ru-RU"/>
        </w:rPr>
        <w:t>(</w:t>
      </w:r>
      <w:r w:rsidR="008A7A16">
        <w:rPr>
          <w:rFonts w:eastAsia="Times New Roman"/>
          <w:sz w:val="26"/>
          <w:szCs w:val="26"/>
          <w:lang w:eastAsia="ru-RU"/>
        </w:rPr>
        <w:t>у січні–жовтні</w:t>
      </w:r>
      <w:r w:rsidR="003C097D" w:rsidRPr="008D426F">
        <w:rPr>
          <w:rFonts w:eastAsia="Times New Roman"/>
          <w:sz w:val="26"/>
          <w:szCs w:val="26"/>
          <w:lang w:eastAsia="ru-RU"/>
        </w:rPr>
        <w:t xml:space="preserve"> </w:t>
      </w:r>
      <w:r w:rsidR="00F870DC">
        <w:rPr>
          <w:rFonts w:eastAsia="Times New Roman"/>
          <w:sz w:val="26"/>
          <w:szCs w:val="26"/>
          <w:lang w:eastAsia="ru-RU"/>
        </w:rPr>
        <w:br/>
      </w:r>
      <w:r w:rsidRPr="008D426F">
        <w:rPr>
          <w:rFonts w:eastAsia="Times New Roman"/>
          <w:sz w:val="26"/>
          <w:szCs w:val="26"/>
          <w:lang w:eastAsia="ru-RU"/>
        </w:rPr>
        <w:t>20</w:t>
      </w:r>
      <w:r w:rsidR="00612CBA" w:rsidRPr="008D426F">
        <w:rPr>
          <w:rFonts w:eastAsia="Times New Roman"/>
          <w:sz w:val="26"/>
          <w:szCs w:val="26"/>
          <w:lang w:eastAsia="ru-RU"/>
        </w:rPr>
        <w:t>2</w:t>
      </w:r>
      <w:r w:rsidR="00DF1F0F" w:rsidRPr="008D426F">
        <w:rPr>
          <w:rFonts w:eastAsia="Times New Roman"/>
          <w:sz w:val="26"/>
          <w:szCs w:val="26"/>
          <w:lang w:eastAsia="ru-RU"/>
        </w:rPr>
        <w:t>2</w:t>
      </w:r>
      <w:r w:rsidRPr="008D426F">
        <w:rPr>
          <w:rFonts w:eastAsia="Times New Roman"/>
          <w:sz w:val="26"/>
          <w:szCs w:val="26"/>
          <w:lang w:eastAsia="ru-RU"/>
        </w:rPr>
        <w:t>р. –</w:t>
      </w:r>
      <w:r w:rsidR="005523AC" w:rsidRPr="008D426F">
        <w:rPr>
          <w:rFonts w:eastAsia="Times New Roman"/>
          <w:sz w:val="26"/>
          <w:szCs w:val="26"/>
          <w:lang w:eastAsia="ru-RU"/>
        </w:rPr>
        <w:t xml:space="preserve"> </w:t>
      </w:r>
      <w:r w:rsidR="00DF1F0F" w:rsidRPr="008D426F">
        <w:rPr>
          <w:rFonts w:eastAsia="Times New Roman"/>
          <w:sz w:val="26"/>
          <w:szCs w:val="26"/>
          <w:lang w:eastAsia="ru-RU"/>
        </w:rPr>
        <w:t>2,</w:t>
      </w:r>
      <w:r w:rsidR="00F870DC">
        <w:rPr>
          <w:rFonts w:eastAsia="Times New Roman"/>
          <w:sz w:val="26"/>
          <w:szCs w:val="26"/>
          <w:lang w:eastAsia="ru-RU"/>
        </w:rPr>
        <w:t>51</w:t>
      </w:r>
      <w:r w:rsidRPr="008D426F">
        <w:rPr>
          <w:rFonts w:eastAsia="Times New Roman"/>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8D426F">
        <w:rPr>
          <w:rFonts w:eastAsia="Times New Roman"/>
          <w:sz w:val="26"/>
          <w:szCs w:val="26"/>
          <w:lang w:val="ru-RU" w:eastAsia="ru-RU"/>
        </w:rPr>
        <w:t>12</w:t>
      </w:r>
      <w:r w:rsidR="004C524E">
        <w:rPr>
          <w:rFonts w:eastAsia="Times New Roman"/>
          <w:sz w:val="26"/>
          <w:szCs w:val="26"/>
          <w:lang w:val="ru-RU" w:eastAsia="ru-RU"/>
        </w:rPr>
        <w:t>2</w:t>
      </w:r>
      <w:r w:rsidRPr="00364BA2">
        <w:rPr>
          <w:rFonts w:eastAsia="Times New Roman"/>
          <w:sz w:val="26"/>
          <w:szCs w:val="26"/>
          <w:lang w:eastAsia="ru-RU"/>
        </w:rPr>
        <w:t xml:space="preserve"> </w:t>
      </w:r>
      <w:r w:rsidRPr="004C524E">
        <w:rPr>
          <w:rFonts w:eastAsia="Times New Roman"/>
          <w:sz w:val="26"/>
          <w:szCs w:val="26"/>
          <w:lang w:eastAsia="ru-RU"/>
        </w:rPr>
        <w:t>країн</w:t>
      </w:r>
      <w:r w:rsidR="0085371B" w:rsidRPr="00364BA2">
        <w:rPr>
          <w:rFonts w:eastAsia="Times New Roman"/>
          <w:sz w:val="26"/>
          <w:szCs w:val="26"/>
          <w:lang w:eastAsia="ru-RU"/>
        </w:rPr>
        <w:t xml:space="preserve"> </w:t>
      </w:r>
      <w:r w:rsidRPr="00364BA2">
        <w:rPr>
          <w:rFonts w:eastAsia="Times New Roman"/>
          <w:sz w:val="26"/>
          <w:szCs w:val="26"/>
          <w:lang w:eastAsia="ru-RU"/>
        </w:rPr>
        <w:t xml:space="preserve">світу. </w:t>
      </w:r>
    </w:p>
    <w:p w:rsidR="00E46928" w:rsidRPr="00364BA2" w:rsidRDefault="00E46928" w:rsidP="00E46928">
      <w:pPr>
        <w:spacing w:after="0" w:line="240" w:lineRule="auto"/>
        <w:ind w:firstLine="709"/>
        <w:jc w:val="both"/>
        <w:rPr>
          <w:sz w:val="26"/>
          <w:szCs w:val="26"/>
        </w:rPr>
        <w:sectPr w:rsidR="00E46928" w:rsidRPr="00364BA2" w:rsidSect="005E5A58">
          <w:footerReference w:type="first" r:id="rId8"/>
          <w:pgSz w:w="11906" w:h="16838" w:code="9"/>
          <w:pgMar w:top="1134" w:right="1134" w:bottom="1418" w:left="1134" w:header="709" w:footer="709" w:gutter="0"/>
          <w:cols w:space="286"/>
          <w:docGrid w:linePitch="360"/>
        </w:sectPr>
      </w:pPr>
    </w:p>
    <w:p w:rsidR="00E46928" w:rsidRPr="005E5A58" w:rsidRDefault="00E46928" w:rsidP="00E46928">
      <w:pPr>
        <w:spacing w:after="0" w:line="240" w:lineRule="auto"/>
        <w:ind w:firstLine="709"/>
        <w:jc w:val="both"/>
        <w:rPr>
          <w:color w:val="FF0000"/>
          <w:sz w:val="36"/>
          <w:szCs w:val="26"/>
        </w:rPr>
        <w:sectPr w:rsidR="00E46928" w:rsidRPr="005E5A58" w:rsidSect="00233032">
          <w:footerReference w:type="default" r:id="rId9"/>
          <w:type w:val="continuous"/>
          <w:pgSz w:w="11906" w:h="16838" w:code="9"/>
          <w:pgMar w:top="1134" w:right="1134" w:bottom="851" w:left="1134" w:header="709" w:footer="709" w:gutter="0"/>
          <w:cols w:space="286"/>
          <w:titlePg/>
          <w:docGrid w:linePitch="360"/>
        </w:sectPr>
      </w:pPr>
    </w:p>
    <w:p w:rsidR="00E46928" w:rsidRPr="00364BA2" w:rsidRDefault="00E46928" w:rsidP="00E46928">
      <w:pPr>
        <w:spacing w:after="0" w:line="240" w:lineRule="auto"/>
        <w:jc w:val="center"/>
        <w:rPr>
          <w:b/>
          <w:sz w:val="20"/>
          <w:szCs w:val="20"/>
        </w:rPr>
      </w:pPr>
      <w:r w:rsidRPr="00364BA2">
        <w:rPr>
          <w:b/>
          <w:sz w:val="20"/>
          <w:szCs w:val="20"/>
        </w:rPr>
        <w:lastRenderedPageBreak/>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AE0FFC" w:rsidP="00E46928">
      <w:pPr>
        <w:spacing w:after="0" w:line="240" w:lineRule="auto"/>
        <w:jc w:val="center"/>
        <w:rPr>
          <w:sz w:val="8"/>
          <w:szCs w:val="8"/>
        </w:rPr>
      </w:pPr>
      <w:r w:rsidRPr="00A3174D">
        <w:rPr>
          <w:noProof/>
          <w:lang w:eastAsia="uk-UA"/>
        </w:rPr>
        <w:drawing>
          <wp:inline distT="0" distB="0" distL="0" distR="0" wp14:anchorId="584DC292" wp14:editId="3A2E4D9B">
            <wp:extent cx="2835275" cy="2496709"/>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lastRenderedPageBreak/>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AE0FFC"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5E6BC991" wp14:editId="6820B7DC">
            <wp:extent cx="2835275" cy="2441051"/>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499C" w:rsidRPr="005E5A58" w:rsidRDefault="009D499C" w:rsidP="00700D17">
      <w:pPr>
        <w:spacing w:after="0" w:line="240" w:lineRule="auto"/>
        <w:ind w:firstLine="708"/>
        <w:jc w:val="both"/>
        <w:rPr>
          <w:rFonts w:eastAsia="Times New Roman"/>
          <w:color w:val="FF0000"/>
          <w:sz w:val="40"/>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 xml:space="preserve">наведено </w:t>
      </w:r>
      <w:r w:rsidR="004E104B">
        <w:rPr>
          <w:rFonts w:eastAsia="Times New Roman"/>
          <w:sz w:val="26"/>
          <w:szCs w:val="26"/>
          <w:lang w:eastAsia="ru-RU"/>
        </w:rPr>
        <w:br/>
      </w:r>
      <w:r w:rsidRPr="00364BA2">
        <w:rPr>
          <w:rFonts w:eastAsia="Times New Roman"/>
          <w:sz w:val="26"/>
          <w:szCs w:val="26"/>
          <w:lang w:eastAsia="ru-RU"/>
        </w:rPr>
        <w:t>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9F7DEA" w:rsidRPr="00364BA2" w:rsidRDefault="009F7DEA" w:rsidP="000B7328">
      <w:pPr>
        <w:spacing w:after="0"/>
        <w:rPr>
          <w:u w:val="single"/>
        </w:rPr>
      </w:pPr>
    </w:p>
    <w:p w:rsidR="005E5A58" w:rsidRDefault="005E5A58" w:rsidP="005E5A58">
      <w:pPr>
        <w:spacing w:after="0"/>
        <w:jc w:val="both"/>
        <w:rPr>
          <w:u w:val="single"/>
        </w:rPr>
      </w:pPr>
    </w:p>
    <w:p w:rsidR="005E5A58" w:rsidRDefault="0098355E" w:rsidP="005E5A58">
      <w:pPr>
        <w:spacing w:after="0"/>
        <w:jc w:val="both"/>
        <w:rPr>
          <w:u w:val="single"/>
        </w:rPr>
      </w:pPr>
      <w:r w:rsidRPr="00364BA2">
        <w:rPr>
          <w:u w:val="single"/>
        </w:rPr>
        <w:lastRenderedPageBreak/>
        <w:t xml:space="preserve">Географічне охоплення </w:t>
      </w:r>
    </w:p>
    <w:p w:rsidR="002A06C0" w:rsidRPr="00C670A0" w:rsidRDefault="002A06C0" w:rsidP="005E5A58">
      <w:pPr>
        <w:spacing w:after="0"/>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98355E" w:rsidRPr="00364BA2" w:rsidRDefault="0098355E" w:rsidP="0098355E">
      <w:pPr>
        <w:tabs>
          <w:tab w:val="left" w:pos="8175"/>
        </w:tabs>
        <w:spacing w:after="0" w:line="240" w:lineRule="auto"/>
        <w:jc w:val="both"/>
        <w:rPr>
          <w:rFonts w:eastAsia="Times New Roman"/>
          <w:lang w:eastAsia="ru-RU"/>
        </w:rPr>
      </w:pPr>
      <w:r w:rsidRPr="00364BA2">
        <w:rPr>
          <w:u w:val="single"/>
        </w:rPr>
        <w:t>Методологія та визначення</w:t>
      </w:r>
    </w:p>
    <w:p w:rsidR="005E5A58" w:rsidRDefault="004F6758" w:rsidP="004F6758">
      <w:pPr>
        <w:spacing w:after="100" w:line="240" w:lineRule="auto"/>
        <w:jc w:val="both"/>
      </w:pPr>
      <w:r w:rsidRPr="00A755A7">
        <w:rPr>
          <w:b/>
        </w:rPr>
        <w:t>Експорт товарів</w:t>
      </w:r>
      <w:r w:rsidRPr="00A755A7">
        <w:t xml:space="preserve"> – це митний режим, відповідно до якого українські </w:t>
      </w:r>
      <w:proofErr w:type="spellStart"/>
      <w:r w:rsidRPr="00A755A7">
        <w:t>тов</w:t>
      </w:r>
      <w:proofErr w:type="spellEnd"/>
    </w:p>
    <w:p w:rsidR="004F6758" w:rsidRPr="00A755A7" w:rsidRDefault="004F6758" w:rsidP="004F6758">
      <w:pPr>
        <w:spacing w:after="100" w:line="240" w:lineRule="auto"/>
        <w:jc w:val="both"/>
      </w:pPr>
      <w:r w:rsidRPr="00A755A7">
        <w:t xml:space="preserve">ари випускаються для вільного обігу за межами митної території України без зобов’язань щодо </w:t>
      </w:r>
      <w:r w:rsidR="005E5A58">
        <w:br/>
      </w:r>
      <w:r w:rsidRPr="00A755A7">
        <w:t>їх зворотного ввезення.</w:t>
      </w:r>
    </w:p>
    <w:p w:rsidR="004F6758" w:rsidRPr="00A755A7" w:rsidRDefault="004F6758" w:rsidP="004F6758">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F6758" w:rsidRPr="00A755A7" w:rsidRDefault="004F6758" w:rsidP="004F6758">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w:t>
      </w:r>
      <w:r w:rsidR="005E5A58">
        <w:br/>
      </w:r>
      <w:r w:rsidRPr="00A755A7">
        <w:t xml:space="preserve">(НАК "Нафтогаз України"), а також форми державного статистичного спостереження щодо експорту-імпорту товарів, придбаних у портах. </w:t>
      </w:r>
    </w:p>
    <w:p w:rsidR="004F6758" w:rsidRPr="00A755A7" w:rsidRDefault="004F6758" w:rsidP="004F6758">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2A06C0" w:rsidRPr="00A755A7" w:rsidRDefault="002A06C0" w:rsidP="002A06C0">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4F6758" w:rsidRPr="00A755A7" w:rsidRDefault="004F6758" w:rsidP="004F6758">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5E5A58">
        <w:br/>
      </w:r>
      <w:r w:rsidRPr="00A755A7">
        <w:t xml:space="preserve">за статистичними звітами, перерахунок вартості товарів у долари США здійснюється </w:t>
      </w:r>
      <w:r w:rsidR="005E5A58">
        <w:br/>
      </w:r>
      <w:r w:rsidRPr="00A755A7">
        <w:t xml:space="preserve">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364BA2" w:rsidRDefault="0098355E" w:rsidP="0098355E">
      <w:pPr>
        <w:spacing w:before="100" w:after="0" w:line="240" w:lineRule="auto"/>
        <w:jc w:val="both"/>
      </w:pPr>
    </w:p>
    <w:p w:rsidR="004F6758" w:rsidRPr="00A755A7" w:rsidRDefault="004F6758" w:rsidP="004F6758">
      <w:pPr>
        <w:spacing w:before="100" w:after="0" w:line="240" w:lineRule="auto"/>
        <w:jc w:val="both"/>
      </w:pPr>
      <w:bookmarkStart w:id="0"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98355E" w:rsidRPr="00364BA2" w:rsidRDefault="0098355E" w:rsidP="0098355E">
      <w:pPr>
        <w:pStyle w:val="ac"/>
        <w:spacing w:before="100"/>
        <w:jc w:val="both"/>
      </w:pPr>
    </w:p>
    <w:p w:rsidR="001D7068" w:rsidRDefault="002A06C0" w:rsidP="0098355E">
      <w:pPr>
        <w:spacing w:after="0" w:line="240" w:lineRule="auto"/>
        <w:jc w:val="both"/>
      </w:pPr>
      <w:r w:rsidRPr="002A06C0">
        <w:t>Методологічні положення:</w:t>
      </w:r>
      <w:r w:rsidRPr="002A06C0">
        <w:rPr>
          <w:lang w:val="ru-RU"/>
        </w:rPr>
        <w:t xml:space="preserve"> </w:t>
      </w:r>
      <w:hyperlink r:id="rId12" w:history="1">
        <w:r w:rsidRPr="002A06C0">
          <w:rPr>
            <w:rStyle w:val="a7"/>
          </w:rPr>
          <w:t>https://ukrstat.gov.ua/norm_doc/2022/449/449.pdf</w:t>
        </w:r>
      </w:hyperlink>
    </w:p>
    <w:p w:rsidR="002A06C0" w:rsidRPr="00364BA2" w:rsidRDefault="002A06C0" w:rsidP="0098355E">
      <w:pPr>
        <w:spacing w:after="0" w:line="240" w:lineRule="auto"/>
        <w:jc w:val="both"/>
      </w:pPr>
    </w:p>
    <w:p w:rsidR="004F6758" w:rsidRPr="00A755A7" w:rsidRDefault="004F6758" w:rsidP="004F6758">
      <w:pPr>
        <w:spacing w:after="0" w:line="240" w:lineRule="auto"/>
        <w:jc w:val="both"/>
      </w:pPr>
      <w:r w:rsidRPr="00A755A7">
        <w:rPr>
          <w:u w:val="single"/>
        </w:rPr>
        <w:t xml:space="preserve">Перегляд даних </w:t>
      </w:r>
    </w:p>
    <w:p w:rsidR="004F6758" w:rsidRPr="00A755A7" w:rsidRDefault="004F6758" w:rsidP="004F6758">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4F6758" w:rsidRPr="00A755A7" w:rsidRDefault="004F6758" w:rsidP="004F6758">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4F6758" w:rsidRPr="00A755A7" w:rsidRDefault="004F6758" w:rsidP="004F6758">
      <w:pPr>
        <w:spacing w:after="0" w:line="240" w:lineRule="auto"/>
        <w:jc w:val="both"/>
      </w:pPr>
    </w:p>
    <w:p w:rsidR="004F6758" w:rsidRPr="00A755A7" w:rsidRDefault="004F6758" w:rsidP="004F6758">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4F6758" w:rsidRPr="00A755A7" w:rsidRDefault="004F6758" w:rsidP="004F6758">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w:t>
      </w:r>
      <w:r w:rsidR="005E5A58">
        <w:rPr>
          <w:lang w:eastAsia="uk-UA"/>
        </w:rPr>
        <w:br/>
      </w:r>
      <w:r w:rsidRPr="00A755A7">
        <w:rPr>
          <w:lang w:eastAsia="uk-UA"/>
        </w:rPr>
        <w:t xml:space="preserve">у даних із зовнішньої торгівлі товарами та послугами, які оприлюднюються зазначеними суб’єктами: </w:t>
      </w:r>
      <w:hyperlink r:id="rId13"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5E5A58" w:rsidRDefault="005E5A58" w:rsidP="00A3142C">
      <w:pPr>
        <w:spacing w:after="0" w:line="240" w:lineRule="auto"/>
        <w:rPr>
          <w:rFonts w:eastAsia="Times New Roman"/>
          <w:sz w:val="26"/>
          <w:szCs w:val="26"/>
          <w:lang w:eastAsia="ru-RU"/>
        </w:rPr>
      </w:pPr>
    </w:p>
    <w:p w:rsidR="005E5A58" w:rsidRPr="00364BA2" w:rsidRDefault="005E5A58"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 xml:space="preserve">Довідка: </w:t>
      </w:r>
      <w:proofErr w:type="spellStart"/>
      <w:r w:rsidRPr="00364BA2">
        <w:rPr>
          <w:rFonts w:eastAsia="Times New Roman"/>
          <w:sz w:val="20"/>
          <w:szCs w:val="24"/>
          <w:lang w:eastAsia="ru-RU"/>
        </w:rPr>
        <w:t>тел</w:t>
      </w:r>
      <w:proofErr w:type="spellEnd"/>
      <w:r w:rsidRPr="00364BA2">
        <w:rPr>
          <w:rFonts w:eastAsia="Times New Roman"/>
          <w:sz w:val="20"/>
          <w:szCs w:val="24"/>
          <w:lang w:eastAsia="ru-RU"/>
        </w:rPr>
        <w:t>.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e-</w:t>
      </w:r>
      <w:proofErr w:type="spellStart"/>
      <w:r w:rsidRPr="00364BA2">
        <w:rPr>
          <w:rFonts w:eastAsia="Times New Roman"/>
          <w:sz w:val="20"/>
          <w:szCs w:val="20"/>
          <w:lang w:eastAsia="ru-RU"/>
        </w:rPr>
        <w:t>mail</w:t>
      </w:r>
      <w:proofErr w:type="spellEnd"/>
      <w:r w:rsidRPr="00364BA2">
        <w:rPr>
          <w:rFonts w:eastAsia="Times New Roman"/>
          <w:sz w:val="20"/>
          <w:szCs w:val="20"/>
          <w:lang w:eastAsia="ru-RU"/>
        </w:rPr>
        <w:t xml:space="preserve">: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4"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A3142C" w:rsidRPr="00364BA2"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973EDD" w:rsidRPr="00364BA2">
        <w:rPr>
          <w:rFonts w:eastAsia="Times New Roman"/>
          <w:sz w:val="20"/>
          <w:szCs w:val="20"/>
          <w:lang w:eastAsia="ru-RU"/>
        </w:rPr>
        <w:t>3</w:t>
      </w:r>
    </w:p>
    <w:p w:rsidR="00E46928" w:rsidRPr="00364BA2" w:rsidRDefault="00E46928" w:rsidP="00E46928">
      <w:pPr>
        <w:spacing w:after="0" w:line="240" w:lineRule="auto"/>
        <w:jc w:val="right"/>
        <w:rPr>
          <w:rFonts w:eastAsia="Times New Roman"/>
          <w:sz w:val="24"/>
          <w:szCs w:val="24"/>
          <w:lang w:eastAsia="ru-RU"/>
        </w:rPr>
      </w:pPr>
      <w:r w:rsidRPr="00364BA2">
        <w:rPr>
          <w:rFonts w:eastAsia="Times New Roman"/>
          <w:sz w:val="24"/>
          <w:szCs w:val="24"/>
          <w:lang w:eastAsia="ru-RU"/>
        </w:rPr>
        <w:t xml:space="preserve">Додаток </w:t>
      </w:r>
    </w:p>
    <w:p w:rsidR="00EB211F" w:rsidRPr="00364BA2" w:rsidRDefault="00EB211F" w:rsidP="00E46928">
      <w:pPr>
        <w:spacing w:after="0" w:line="240" w:lineRule="auto"/>
        <w:jc w:val="right"/>
        <w:rPr>
          <w:rFonts w:eastAsia="Times New Roman"/>
          <w:sz w:val="24"/>
          <w:szCs w:val="24"/>
          <w:lang w:eastAsia="ru-RU"/>
        </w:rPr>
      </w:pP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торгівлі </w:t>
      </w:r>
      <w:r w:rsidR="008A7A16">
        <w:rPr>
          <w:rFonts w:eastAsia="Times New Roman"/>
          <w:b/>
          <w:sz w:val="26"/>
          <w:szCs w:val="26"/>
          <w:lang w:eastAsia="ru-RU"/>
        </w:rPr>
        <w:t>у</w:t>
      </w:r>
      <w:r w:rsidR="005028F0">
        <w:rPr>
          <w:rFonts w:eastAsia="Times New Roman"/>
          <w:b/>
          <w:sz w:val="26"/>
          <w:szCs w:val="26"/>
          <w:lang w:eastAsia="ru-RU"/>
        </w:rPr>
        <w:t xml:space="preserve"> </w:t>
      </w:r>
      <w:r w:rsidR="00AE0FFC">
        <w:rPr>
          <w:rFonts w:eastAsia="Times New Roman"/>
          <w:b/>
          <w:sz w:val="26"/>
          <w:szCs w:val="26"/>
          <w:lang w:eastAsia="ru-RU"/>
        </w:rPr>
        <w:t>січн</w:t>
      </w:r>
      <w:r w:rsidR="008A7A16">
        <w:rPr>
          <w:rFonts w:eastAsia="Times New Roman"/>
          <w:b/>
          <w:sz w:val="26"/>
          <w:szCs w:val="26"/>
          <w:lang w:eastAsia="ru-RU"/>
        </w:rPr>
        <w:t>і</w:t>
      </w:r>
      <w:r w:rsidR="00AE0FFC">
        <w:rPr>
          <w:rFonts w:eastAsia="Times New Roman"/>
          <w:b/>
          <w:sz w:val="26"/>
          <w:szCs w:val="26"/>
          <w:lang w:eastAsia="ru-RU"/>
        </w:rPr>
        <w:t>–жовтн</w:t>
      </w:r>
      <w:r w:rsidR="008A7A16">
        <w:rPr>
          <w:rFonts w:eastAsia="Times New Roman"/>
          <w:b/>
          <w:sz w:val="26"/>
          <w:szCs w:val="26"/>
          <w:lang w:eastAsia="ru-RU"/>
        </w:rPr>
        <w:t>і</w:t>
      </w:r>
      <w:r w:rsidR="00D71588" w:rsidRPr="00364BA2">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widowControl w:val="0"/>
        <w:spacing w:after="0" w:line="245" w:lineRule="exact"/>
        <w:jc w:val="right"/>
        <w:rPr>
          <w:sz w:val="24"/>
          <w:szCs w:val="24"/>
          <w:lang w:eastAsia="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364BA2" w:rsidTr="005E5A58">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296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5E5A58">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proofErr w:type="spellStart"/>
            <w:r w:rsidRPr="00364BA2">
              <w:rPr>
                <w:rFonts w:cs="Calibri"/>
                <w:lang w:eastAsia="uk-UA" w:bidi="uk-UA"/>
              </w:rPr>
              <w:t>тис.дол</w:t>
            </w:r>
            <w:proofErr w:type="spellEnd"/>
            <w:r w:rsidRPr="00364BA2">
              <w:rPr>
                <w:rFonts w:cs="Calibri"/>
                <w:lang w:eastAsia="uk-UA" w:bidi="uk-UA"/>
              </w:rPr>
              <w:t>.</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AE0FFC">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00AE0FFC">
              <w:rPr>
                <w:rFonts w:eastAsia="Times New Roman"/>
                <w:lang w:eastAsia="ru-RU"/>
              </w:rPr>
              <w:t>січня–жовтня</w:t>
            </w:r>
            <w:r w:rsidRPr="00364BA2">
              <w:rPr>
                <w:rFonts w:eastAsia="Times New Roman"/>
                <w:lang w:eastAsia="ru-RU"/>
              </w:rPr>
              <w:t xml:space="preserve"> </w:t>
            </w:r>
            <w:r w:rsidRPr="00364BA2">
              <w:rPr>
                <w:rFonts w:eastAsia="Times New Roman"/>
                <w:lang w:eastAsia="ru-RU"/>
              </w:rPr>
              <w:b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proofErr w:type="spellStart"/>
            <w:r w:rsidRPr="00364BA2">
              <w:rPr>
                <w:rFonts w:cs="Calibri"/>
                <w:lang w:eastAsia="uk-UA" w:bidi="uk-UA"/>
              </w:rPr>
              <w:t>тис.дол</w:t>
            </w:r>
            <w:proofErr w:type="spellEnd"/>
            <w:r w:rsidRPr="00364BA2">
              <w:rPr>
                <w:rFonts w:cs="Calibri"/>
                <w:lang w:eastAsia="uk-UA" w:bidi="uk-UA"/>
              </w:rPr>
              <w:t>.</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30DD2" w:rsidP="005028F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AE0FFC">
              <w:rPr>
                <w:rFonts w:eastAsia="Times New Roman"/>
                <w:lang w:eastAsia="ru-RU"/>
              </w:rPr>
              <w:t>січня–жовтня</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AE0FFC" w:rsidRPr="00364BA2" w:rsidTr="005E5A58">
        <w:trPr>
          <w:trHeight w:val="302"/>
        </w:trPr>
        <w:tc>
          <w:tcPr>
            <w:tcW w:w="2822" w:type="dxa"/>
            <w:tcBorders>
              <w:top w:val="single" w:sz="4" w:space="0" w:color="auto"/>
            </w:tcBorders>
            <w:shd w:val="clear" w:color="auto" w:fill="FFFFFF"/>
            <w:vAlign w:val="bottom"/>
          </w:tcPr>
          <w:p w:rsidR="00AE0FFC" w:rsidRPr="00364BA2" w:rsidRDefault="00AE0FFC" w:rsidP="00AE0FFC">
            <w:pPr>
              <w:spacing w:before="120"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AE0FFC" w:rsidRPr="00364BA2" w:rsidRDefault="00AE0FFC" w:rsidP="00AE0FFC">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b/>
                <w:lang w:eastAsia="uk-UA"/>
              </w:rPr>
            </w:pPr>
            <w:r w:rsidRPr="00190553">
              <w:rPr>
                <w:rFonts w:asciiTheme="minorHAnsi" w:hAnsiTheme="minorHAnsi" w:cs="Times New Roman CYR"/>
                <w:b/>
              </w:rPr>
              <w:t>1263901,4</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b/>
              </w:rPr>
            </w:pPr>
            <w:r w:rsidRPr="00190553">
              <w:rPr>
                <w:rFonts w:asciiTheme="minorHAnsi" w:hAnsiTheme="minorHAnsi" w:cs="Times New Roman CYR"/>
                <w:b/>
              </w:rPr>
              <w:t>100,8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b/>
              </w:rPr>
            </w:pPr>
            <w:r w:rsidRPr="00190553">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b/>
              </w:rPr>
            </w:pPr>
            <w:r w:rsidRPr="00190553">
              <w:rPr>
                <w:rFonts w:asciiTheme="minorHAnsi" w:hAnsiTheme="minorHAnsi" w:cs="Times New Roman CYR"/>
                <w:b/>
              </w:rPr>
              <w:t>755265,0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b/>
              </w:rPr>
            </w:pPr>
            <w:r w:rsidRPr="00190553">
              <w:rPr>
                <w:rFonts w:asciiTheme="minorHAnsi" w:hAnsiTheme="minorHAnsi" w:cs="Times New Roman CYR"/>
                <w:b/>
              </w:rPr>
              <w:t>151,2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b/>
              </w:rPr>
            </w:pPr>
            <w:r w:rsidRPr="00190553">
              <w:rPr>
                <w:rFonts w:asciiTheme="minorHAnsi" w:hAnsiTheme="minorHAnsi" w:cs="Times New Roman CYR"/>
                <w:b/>
              </w:rPr>
              <w:t>100,0</w:t>
            </w:r>
          </w:p>
        </w:tc>
      </w:tr>
      <w:tr w:rsidR="00030DD2" w:rsidRPr="00364BA2" w:rsidTr="005E5A58">
        <w:trPr>
          <w:trHeight w:val="302"/>
        </w:trPr>
        <w:tc>
          <w:tcPr>
            <w:tcW w:w="2822" w:type="dxa"/>
            <w:shd w:val="clear" w:color="auto" w:fill="FFFFFF"/>
            <w:vAlign w:val="bottom"/>
          </w:tcPr>
          <w:p w:rsidR="00030DD2" w:rsidRPr="00364BA2" w:rsidRDefault="00030DD2" w:rsidP="00030DD2">
            <w:pPr>
              <w:spacing w:before="40"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tcBorders>
              <w:top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77" w:type="dxa"/>
            <w:tcBorders>
              <w:top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r>
      <w:tr w:rsidR="00AE0FFC" w:rsidRPr="00364BA2" w:rsidTr="005E5A58">
        <w:trPr>
          <w:trHeight w:val="302"/>
        </w:trPr>
        <w:tc>
          <w:tcPr>
            <w:tcW w:w="2822" w:type="dxa"/>
            <w:shd w:val="clear" w:color="auto" w:fill="FFFFFF"/>
            <w:vAlign w:val="bottom"/>
          </w:tcPr>
          <w:p w:rsidR="00AE0FFC" w:rsidRPr="00364BA2" w:rsidRDefault="00AE0FFC" w:rsidP="00AE0FFC">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AE0FFC" w:rsidRPr="00364BA2" w:rsidRDefault="00AE0FFC" w:rsidP="00AE0FFC">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127515,2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63,4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10,1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2522,1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80,9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0,3</w:t>
            </w:r>
          </w:p>
        </w:tc>
      </w:tr>
      <w:tr w:rsidR="00AE0FFC" w:rsidRPr="00364BA2" w:rsidTr="005E5A58">
        <w:trPr>
          <w:trHeight w:val="302"/>
        </w:trPr>
        <w:tc>
          <w:tcPr>
            <w:tcW w:w="2822" w:type="dxa"/>
            <w:shd w:val="clear" w:color="auto" w:fill="FFFFFF"/>
            <w:vAlign w:val="bottom"/>
          </w:tcPr>
          <w:p w:rsidR="00AE0FFC" w:rsidRPr="00364BA2" w:rsidRDefault="00AE0FFC" w:rsidP="00AE0FFC">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AE0FFC" w:rsidRPr="00364BA2" w:rsidRDefault="00AE0FFC" w:rsidP="00AE0FFC">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352188,4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81,7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27,9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12745,9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83,8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1,7</w:t>
            </w:r>
          </w:p>
        </w:tc>
      </w:tr>
      <w:tr w:rsidR="00030DD2" w:rsidRPr="00364BA2" w:rsidTr="005E5A58">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77"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r>
      <w:tr w:rsidR="00AE0FFC" w:rsidRPr="00364BA2" w:rsidTr="005E5A58">
        <w:trPr>
          <w:trHeight w:val="302"/>
        </w:trPr>
        <w:tc>
          <w:tcPr>
            <w:tcW w:w="2822" w:type="dxa"/>
            <w:shd w:val="clear" w:color="auto" w:fill="FFFFFF"/>
            <w:vAlign w:val="bottom"/>
          </w:tcPr>
          <w:p w:rsidR="00AE0FFC" w:rsidRPr="00364BA2" w:rsidRDefault="00AE0FFC" w:rsidP="00AE0FFC">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AE0FFC" w:rsidRPr="00364BA2" w:rsidRDefault="00AE0FFC" w:rsidP="00AE0FFC">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238712,8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86,5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18,9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34,4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190553" w:rsidP="00190553">
            <w:pPr>
              <w:spacing w:after="0" w:line="240" w:lineRule="auto"/>
              <w:jc w:val="right"/>
              <w:rPr>
                <w:rFonts w:asciiTheme="minorHAnsi" w:hAnsiTheme="minorHAnsi" w:cs="Times New Roman CYR"/>
              </w:rPr>
            </w:pPr>
            <w:r>
              <w:rPr>
                <w:rFonts w:asciiTheme="minorHAnsi" w:hAnsiTheme="minorHAnsi" w:cs="Times New Roman CYR"/>
              </w:rPr>
              <w:t>0,0</w:t>
            </w:r>
          </w:p>
        </w:tc>
      </w:tr>
      <w:tr w:rsidR="00AE0FFC" w:rsidRPr="00364BA2" w:rsidTr="005E5A58">
        <w:trPr>
          <w:trHeight w:val="302"/>
        </w:trPr>
        <w:tc>
          <w:tcPr>
            <w:tcW w:w="2822" w:type="dxa"/>
            <w:shd w:val="clear" w:color="auto" w:fill="FFFFFF"/>
            <w:vAlign w:val="bottom"/>
          </w:tcPr>
          <w:p w:rsidR="00AE0FFC" w:rsidRPr="00364BA2" w:rsidRDefault="00AE0FFC" w:rsidP="00AE0FFC">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AE0FFC" w:rsidRPr="00364BA2" w:rsidRDefault="00AE0FFC" w:rsidP="00AE0FFC">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386267,2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143,0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30,6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586,7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28,7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E0FFC" w:rsidRPr="00190553" w:rsidRDefault="00AE0FFC" w:rsidP="00190553">
            <w:pPr>
              <w:spacing w:after="0" w:line="240" w:lineRule="auto"/>
              <w:jc w:val="right"/>
              <w:rPr>
                <w:rFonts w:asciiTheme="minorHAnsi" w:hAnsiTheme="minorHAnsi" w:cs="Times New Roman CYR"/>
              </w:rPr>
            </w:pPr>
            <w:r w:rsidRPr="00190553">
              <w:rPr>
                <w:rFonts w:asciiTheme="minorHAnsi" w:hAnsiTheme="minorHAnsi" w:cs="Times New Roman CYR"/>
              </w:rPr>
              <w:t>0,1</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217916,5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187,3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17,2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26155,9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83,1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3,5</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11438,4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81,5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132897,1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386,9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17,6</w:t>
            </w:r>
          </w:p>
        </w:tc>
      </w:tr>
      <w:tr w:rsidR="00030DD2" w:rsidRPr="00364BA2" w:rsidTr="005E5A58">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snapToGrid w:val="0"/>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77"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284"/>
              <w:rPr>
                <w:rFonts w:eastAsia="Times New Roman" w:cs="Times New Roman CYR"/>
                <w:bCs/>
                <w:lang w:eastAsia="ru-RU"/>
              </w:rPr>
            </w:pPr>
            <w:r w:rsidRPr="00364BA2">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190553" w:rsidRPr="00364BA2" w:rsidRDefault="00190553" w:rsidP="00190553">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126920,2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390,6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16,8</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16920,3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96,1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131102,4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145,2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17,4</w:t>
            </w:r>
          </w:p>
        </w:tc>
      </w:tr>
      <w:tr w:rsidR="00030DD2" w:rsidRPr="00364BA2" w:rsidTr="005E5A58">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77" w:type="dxa"/>
            <w:tcBorders>
              <w:top w:val="dotted" w:sz="4" w:space="0" w:color="auto"/>
              <w:bottom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190553" w:rsidRDefault="00030DD2" w:rsidP="00190553">
            <w:pPr>
              <w:spacing w:after="0" w:line="240" w:lineRule="auto"/>
              <w:jc w:val="right"/>
              <w:rPr>
                <w:rFonts w:asciiTheme="minorHAnsi" w:eastAsia="Times New Roman" w:hAnsiTheme="minorHAnsi"/>
                <w:bCs/>
                <w:lang w:eastAsia="ru-RU"/>
              </w:rPr>
            </w:pP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190553" w:rsidRPr="00364BA2" w:rsidRDefault="00190553" w:rsidP="00190553">
            <w:pPr>
              <w:spacing w:after="0" w:line="240" w:lineRule="auto"/>
              <w:jc w:val="center"/>
              <w:rPr>
                <w:rFonts w:eastAsia="Times New Roman"/>
                <w:lang w:eastAsia="ru-RU"/>
              </w:rPr>
            </w:pPr>
            <w:r w:rsidRPr="00364BA2">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3472,3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82,6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16947,2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121,0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2,2</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190553" w:rsidRPr="00364BA2" w:rsidRDefault="00190553" w:rsidP="00190553">
            <w:pPr>
              <w:spacing w:after="0" w:line="240" w:lineRule="auto"/>
              <w:jc w:val="center"/>
              <w:rPr>
                <w:rFonts w:eastAsia="Times New Roman"/>
                <w:lang w:eastAsia="ru-RU"/>
              </w:rPr>
            </w:pPr>
            <w:r w:rsidRPr="00364BA2">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1039,2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925,8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77977,6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198,8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10,3</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4389,5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73,1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60345,2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176,8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8,0</w:t>
            </w:r>
          </w:p>
        </w:tc>
      </w:tr>
      <w:tr w:rsidR="00190553" w:rsidRPr="00364BA2" w:rsidTr="005E5A58">
        <w:trPr>
          <w:trHeight w:val="525"/>
        </w:trPr>
        <w:tc>
          <w:tcPr>
            <w:tcW w:w="2822" w:type="dxa"/>
            <w:shd w:val="clear" w:color="auto" w:fill="FFFFFF"/>
            <w:vAlign w:val="bottom"/>
          </w:tcPr>
          <w:p w:rsidR="00190553" w:rsidRPr="00364BA2" w:rsidRDefault="00190553" w:rsidP="00190553">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190553" w:rsidRPr="00364BA2" w:rsidRDefault="00190553" w:rsidP="00190553">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431,9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77,2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374,8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111,4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0,0</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snapToGrid w:val="0"/>
                <w:lang w:eastAsia="ru-RU"/>
              </w:rPr>
            </w:pPr>
            <w:r w:rsidRPr="00364BA2">
              <w:rPr>
                <w:rFonts w:eastAsia="Times New Roman"/>
                <w:snapToGrid w:val="0"/>
                <w:lang w:eastAsia="ru-RU"/>
              </w:rPr>
              <w:t>Деревина і вироби з деревини</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82470,2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80,2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6,5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26371,4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84,9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3,5</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190553" w:rsidRPr="00364BA2" w:rsidRDefault="00190553" w:rsidP="00190553">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867,4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110,1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9804,2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103,4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1,3</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1529,5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41654,5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204,8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5,5</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 xml:space="preserve">Взуття, </w:t>
            </w:r>
            <w:proofErr w:type="spellStart"/>
            <w:r w:rsidRPr="00364BA2">
              <w:rPr>
                <w:rFonts w:eastAsia="Times New Roman" w:cs="Times New Roman CYR"/>
                <w:bCs/>
                <w:lang w:eastAsia="ru-RU"/>
              </w:rPr>
              <w:t>головнi</w:t>
            </w:r>
            <w:proofErr w:type="spellEnd"/>
            <w:r w:rsidRPr="00364BA2">
              <w:rPr>
                <w:rFonts w:eastAsia="Times New Roman" w:cs="Times New Roman CYR"/>
                <w:bCs/>
                <w:lang w:eastAsia="ru-RU"/>
              </w:rPr>
              <w:t xml:space="preserve"> убори, парасольки</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137,8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68,4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5877,6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236,6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0,8</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190553" w:rsidRPr="00364BA2" w:rsidRDefault="00190553" w:rsidP="00190553">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1962,7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289,8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9402,7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229,4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1,2</w:t>
            </w:r>
          </w:p>
        </w:tc>
      </w:tr>
      <w:tr w:rsidR="00190553" w:rsidRPr="00364BA2" w:rsidTr="005E5A58">
        <w:trPr>
          <w:trHeight w:val="302"/>
        </w:trPr>
        <w:tc>
          <w:tcPr>
            <w:tcW w:w="2822" w:type="dxa"/>
            <w:shd w:val="clear" w:color="auto" w:fill="FFFFFF"/>
            <w:vAlign w:val="bottom"/>
          </w:tcPr>
          <w:p w:rsidR="00190553" w:rsidRPr="00364BA2" w:rsidRDefault="00190553" w:rsidP="00190553">
            <w:pPr>
              <w:spacing w:after="0" w:line="240" w:lineRule="auto"/>
              <w:ind w:left="142"/>
              <w:rPr>
                <w:rFonts w:eastAsia="Times New Roman"/>
                <w:bCs/>
                <w:lang w:eastAsia="ru-RU"/>
              </w:rPr>
            </w:pPr>
            <w:r w:rsidRPr="00364BA2">
              <w:rPr>
                <w:rFonts w:eastAsia="Times New Roman" w:cs="Times New Roman CYR"/>
                <w:bCs/>
                <w:lang w:eastAsia="ru-RU"/>
              </w:rPr>
              <w:t xml:space="preserve">Перли природні або культивовані, дорогоцінне або </w:t>
            </w:r>
            <w:proofErr w:type="spellStart"/>
            <w:r w:rsidRPr="00364BA2">
              <w:rPr>
                <w:rFonts w:eastAsia="Times New Roman" w:cs="Times New Roman CYR"/>
                <w:bCs/>
                <w:lang w:eastAsia="ru-RU"/>
              </w:rPr>
              <w:t>напівдорогоцінне</w:t>
            </w:r>
            <w:proofErr w:type="spellEnd"/>
            <w:r w:rsidRPr="00364BA2">
              <w:rPr>
                <w:rFonts w:eastAsia="Times New Roman" w:cs="Times New Roman CYR"/>
                <w:bCs/>
                <w:lang w:eastAsia="ru-RU"/>
              </w:rPr>
              <w:t xml:space="preserve"> каміння</w:t>
            </w:r>
          </w:p>
        </w:tc>
        <w:tc>
          <w:tcPr>
            <w:tcW w:w="864" w:type="dxa"/>
            <w:shd w:val="clear" w:color="auto" w:fill="FFFFFF"/>
            <w:vAlign w:val="bottom"/>
          </w:tcPr>
          <w:p w:rsidR="00190553" w:rsidRPr="00364BA2" w:rsidRDefault="00190553" w:rsidP="00190553">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lang w:eastAsia="uk-UA"/>
              </w:rPr>
            </w:pPr>
            <w:r w:rsidRPr="00190553">
              <w:rPr>
                <w:rFonts w:asciiTheme="minorHAnsi" w:hAnsiTheme="minorHAnsi" w:cs="Times New Roman CYR"/>
              </w:rPr>
              <w:t>283,0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62,2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985,4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272,2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90553" w:rsidRPr="00190553" w:rsidRDefault="00190553" w:rsidP="00190553">
            <w:pPr>
              <w:spacing w:after="0" w:line="240" w:lineRule="auto"/>
              <w:jc w:val="right"/>
              <w:rPr>
                <w:rFonts w:asciiTheme="minorHAnsi" w:hAnsiTheme="minorHAnsi" w:cs="Times New Roman CYR"/>
              </w:rPr>
            </w:pPr>
            <w:r w:rsidRPr="00190553">
              <w:rPr>
                <w:rFonts w:asciiTheme="minorHAnsi" w:hAnsiTheme="minorHAnsi" w:cs="Times New Roman CYR"/>
              </w:rPr>
              <w:t>0,1</w:t>
            </w:r>
          </w:p>
        </w:tc>
      </w:tr>
    </w:tbl>
    <w:p w:rsidR="005E5A58" w:rsidRDefault="00E46928" w:rsidP="005E5A58">
      <w:pPr>
        <w:spacing w:after="0" w:line="240" w:lineRule="auto"/>
        <w:ind w:right="-1"/>
        <w:jc w:val="center"/>
        <w:rPr>
          <w:rFonts w:eastAsia="Times New Roman"/>
          <w:lang w:eastAsia="ru-RU"/>
        </w:rPr>
      </w:pPr>
      <w:r w:rsidRPr="00364BA2">
        <w:rPr>
          <w:rFonts w:eastAsia="Times New Roman"/>
          <w:lang w:eastAsia="ru-RU"/>
        </w:rPr>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p>
    <w:p w:rsidR="005E5A58" w:rsidRDefault="005E5A58" w:rsidP="005E5A58">
      <w:pPr>
        <w:spacing w:after="0" w:line="240" w:lineRule="auto"/>
        <w:ind w:right="-1"/>
        <w:jc w:val="center"/>
        <w:rPr>
          <w:rFonts w:eastAsia="Times New Roman"/>
          <w:lang w:eastAsia="ru-RU"/>
        </w:rPr>
      </w:pPr>
    </w:p>
    <w:p w:rsidR="00E46928" w:rsidRPr="00364BA2" w:rsidRDefault="00E46928" w:rsidP="005E5A58">
      <w:pPr>
        <w:spacing w:after="0" w:line="240" w:lineRule="auto"/>
        <w:ind w:right="-1"/>
        <w:jc w:val="right"/>
        <w:rPr>
          <w:rFonts w:eastAsia="Times New Roman"/>
          <w:lang w:eastAsia="ru-RU"/>
        </w:rPr>
      </w:pPr>
      <w:bookmarkStart w:id="1" w:name="_GoBack"/>
      <w:bookmarkEnd w:id="1"/>
      <w:r w:rsidRPr="00364BA2">
        <w:rPr>
          <w:rFonts w:eastAsia="Times New Roman"/>
          <w:lang w:eastAsia="ru-RU"/>
        </w:rPr>
        <w:t xml:space="preserve"> Продовження додатка</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364BA2" w:rsidTr="005E5A58">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5E5A58">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5028F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190553">
              <w:rPr>
                <w:rFonts w:eastAsia="Times New Roman"/>
                <w:lang w:eastAsia="ru-RU"/>
              </w:rPr>
              <w:t>січня–жовтня</w:t>
            </w:r>
            <w:r w:rsidRPr="00364BA2">
              <w:rPr>
                <w:rFonts w:eastAsia="Times New Roman"/>
                <w:lang w:eastAsia="ru-RU"/>
              </w:rPr>
              <w:b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5028F0">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sidR="00190553">
              <w:rPr>
                <w:rFonts w:eastAsia="Times New Roman"/>
                <w:lang w:eastAsia="ru-RU"/>
              </w:rPr>
              <w:t>січня–жовтня</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13356,6</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88,7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1,1</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39497,4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130,6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5,2</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364BA2" w:rsidRDefault="005E5A58" w:rsidP="005E5A58">
            <w:pPr>
              <w:spacing w:after="0" w:line="240" w:lineRule="exact"/>
              <w:jc w:val="right"/>
              <w:rPr>
                <w:rFonts w:asciiTheme="minorHAnsi" w:hAnsiTheme="minorHAnsi"/>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364BA2" w:rsidRDefault="005E5A58" w:rsidP="005E5A58">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364BA2" w:rsidRDefault="005E5A58" w:rsidP="005E5A58">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364BA2" w:rsidRDefault="005E5A58" w:rsidP="005E5A58">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364BA2" w:rsidRDefault="005E5A58" w:rsidP="005E5A58">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E5A58" w:rsidRPr="00364BA2" w:rsidRDefault="005E5A58" w:rsidP="005E5A58">
            <w:pPr>
              <w:spacing w:after="0" w:line="240" w:lineRule="exact"/>
              <w:jc w:val="right"/>
              <w:rPr>
                <w:rFonts w:asciiTheme="minorHAnsi" w:hAnsiTheme="minorHAnsi"/>
              </w:rPr>
            </w:pP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284"/>
              <w:rPr>
                <w:rFonts w:eastAsia="Times New Roman" w:cs="Times New Roman CYR"/>
                <w:bCs/>
                <w:lang w:eastAsia="ru-RU"/>
              </w:rPr>
            </w:pPr>
            <w:proofErr w:type="spellStart"/>
            <w:r w:rsidRPr="00364BA2">
              <w:rPr>
                <w:rFonts w:eastAsia="Times New Roman" w:cs="Times New Roman CYR"/>
                <w:bCs/>
                <w:lang w:eastAsia="ru-RU"/>
              </w:rPr>
              <w:t>чорнi</w:t>
            </w:r>
            <w:proofErr w:type="spellEnd"/>
            <w:r w:rsidRPr="00364BA2">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2298,8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80,4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18989,3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135,0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2,5</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33904,2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71,9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120920,4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151,3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16,0</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31123,0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113,8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78036,0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156,0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10,3</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2781,2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42884,5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143,6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5,7</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634,8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62,9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110231,9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114,7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14,6</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190553" w:rsidRDefault="005E5A58" w:rsidP="005E5A58">
            <w:pPr>
              <w:spacing w:after="0" w:line="240" w:lineRule="auto"/>
              <w:jc w:val="right"/>
              <w:rPr>
                <w:rFonts w:asciiTheme="minorHAnsi" w:eastAsia="Times New Roman" w:hAnsiTheme="minorHAnsi"/>
                <w:bCs/>
                <w:lang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190553" w:rsidRDefault="005E5A58" w:rsidP="005E5A58">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190553" w:rsidRDefault="005E5A58" w:rsidP="005E5A58">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190553" w:rsidRDefault="005E5A58" w:rsidP="005E5A58">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190553" w:rsidRDefault="005E5A58" w:rsidP="005E5A58">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190553" w:rsidRDefault="005E5A58" w:rsidP="005E5A58">
            <w:pPr>
              <w:spacing w:after="0" w:line="240" w:lineRule="auto"/>
              <w:jc w:val="right"/>
              <w:rPr>
                <w:rFonts w:asciiTheme="minorHAnsi" w:eastAsia="Times New Roman" w:hAnsiTheme="minorHAnsi"/>
                <w:bCs/>
                <w:lang w:eastAsia="ru-RU"/>
              </w:rPr>
            </w:pP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534,3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53,2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108145,1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112,8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14,3</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597,4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27,3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18018,3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190,6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2,4</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10961,6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112,1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5710,9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131,7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0,8</w:t>
            </w:r>
          </w:p>
        </w:tc>
      </w:tr>
      <w:tr w:rsidR="005E5A58" w:rsidRPr="00364BA2" w:rsidTr="005E5A5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5A58" w:rsidRPr="00364BA2" w:rsidRDefault="005E5A58" w:rsidP="005E5A58">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5E5A58" w:rsidRPr="00364BA2" w:rsidRDefault="005E5A58" w:rsidP="005E5A58">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lang w:eastAsia="uk-UA"/>
              </w:rPr>
            </w:pPr>
            <w:r w:rsidRPr="00190553">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rPr>
            </w:pPr>
            <w:r w:rsidRPr="00190553">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rPr>
            </w:pPr>
            <w:r w:rsidRPr="00190553">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lang w:eastAsia="uk-UA"/>
              </w:rPr>
            </w:pPr>
            <w:r w:rsidRPr="00190553">
              <w:rPr>
                <w:rFonts w:asciiTheme="minorHAnsi" w:hAnsiTheme="minorHAnsi" w:cs="Times New Roman CYR"/>
              </w:rPr>
              <w:t>29,3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5A58" w:rsidRPr="00190553" w:rsidRDefault="005E5A58" w:rsidP="005E5A58">
            <w:pPr>
              <w:spacing w:after="0" w:line="240" w:lineRule="auto"/>
              <w:jc w:val="right"/>
              <w:rPr>
                <w:rFonts w:asciiTheme="minorHAnsi" w:hAnsiTheme="minorHAnsi" w:cs="Times New Roman CYR"/>
              </w:rPr>
            </w:pPr>
            <w:r w:rsidRPr="00190553">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p>
    <w:sectPr w:rsidR="009A036C" w:rsidRPr="00364BA2" w:rsidSect="005E5A58">
      <w:footerReference w:type="default" r:id="rId15"/>
      <w:type w:val="continuous"/>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105" w:rsidRDefault="00815105">
      <w:pPr>
        <w:spacing w:after="0" w:line="240" w:lineRule="auto"/>
      </w:pPr>
      <w:r>
        <w:separator/>
      </w:r>
    </w:p>
  </w:endnote>
  <w:endnote w:type="continuationSeparator" w:id="0">
    <w:p w:rsidR="00815105" w:rsidRDefault="00815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374596"/>
      <w:docPartObj>
        <w:docPartGallery w:val="Page Numbers (Bottom of Page)"/>
        <w:docPartUnique/>
      </w:docPartObj>
    </w:sdtPr>
    <w:sdtContent>
      <w:p w:rsidR="005E5A58" w:rsidRDefault="005E5A58">
        <w:pPr>
          <w:pStyle w:val="a3"/>
          <w:jc w:val="right"/>
        </w:pPr>
        <w:r>
          <w:fldChar w:fldCharType="begin"/>
        </w:r>
        <w:r>
          <w:instrText>PAGE   \* MERGEFORMAT</w:instrText>
        </w:r>
        <w:r>
          <w:fldChar w:fldCharType="separate"/>
        </w:r>
        <w:r w:rsidRPr="005E5A58">
          <w:rPr>
            <w:noProof/>
            <w:lang w:val="uk-UA"/>
          </w:rPr>
          <w:t>1</w:t>
        </w:r>
        <w:r>
          <w:fldChar w:fldCharType="end"/>
        </w:r>
      </w:p>
    </w:sdtContent>
  </w:sdt>
  <w:p w:rsidR="005E5A58" w:rsidRDefault="005E5A5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37628"/>
      <w:docPartObj>
        <w:docPartGallery w:val="Page Numbers (Bottom of Page)"/>
        <w:docPartUnique/>
      </w:docPartObj>
    </w:sdtPr>
    <w:sdtContent>
      <w:p w:rsidR="005E5A58" w:rsidRDefault="005E5A58">
        <w:pPr>
          <w:pStyle w:val="a3"/>
          <w:jc w:val="right"/>
        </w:pPr>
        <w:r>
          <w:fldChar w:fldCharType="begin"/>
        </w:r>
        <w:r>
          <w:instrText>PAGE   \* MERGEFORMAT</w:instrText>
        </w:r>
        <w:r>
          <w:fldChar w:fldCharType="separate"/>
        </w:r>
        <w:r w:rsidRPr="005E5A58">
          <w:rPr>
            <w:noProof/>
            <w:lang w:val="uk-UA"/>
          </w:rPr>
          <w:t>4</w:t>
        </w:r>
        <w:r>
          <w:fldChar w:fldCharType="end"/>
        </w:r>
      </w:p>
    </w:sdtContent>
  </w:sdt>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105" w:rsidRDefault="00815105">
      <w:pPr>
        <w:spacing w:after="0" w:line="240" w:lineRule="auto"/>
      </w:pPr>
      <w:r>
        <w:separator/>
      </w:r>
    </w:p>
  </w:footnote>
  <w:footnote w:type="continuationSeparator" w:id="0">
    <w:p w:rsidR="00815105" w:rsidRDefault="008151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495"/>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97C85"/>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53"/>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987"/>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24E"/>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104B"/>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28F0"/>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2EEB"/>
    <w:rsid w:val="005B3ADD"/>
    <w:rsid w:val="005B4258"/>
    <w:rsid w:val="005B49B1"/>
    <w:rsid w:val="005B576B"/>
    <w:rsid w:val="005B593C"/>
    <w:rsid w:val="005B6B85"/>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5A58"/>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8B2"/>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5105"/>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81B"/>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A7A16"/>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6F"/>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8A7"/>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0FFC"/>
    <w:rsid w:val="00AE21E2"/>
    <w:rsid w:val="00AE234C"/>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3994"/>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1031"/>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569"/>
    <w:rsid w:val="00E27E4D"/>
    <w:rsid w:val="00E301A7"/>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0DC"/>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vn.ukrstat.gov.ua/index.php/statistical-information.htm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710945146414366"/>
          <c:y val="6.1035020024887338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8871008985019093E-2"/>
                  <c:y val="-3.79499115650483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9894013808184393E-2"/>
                  <c:y val="2.545618052723392E-3"/>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0772147322570203E-2"/>
                  <c:y val="-1.77553303844987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9079542548783E-2"/>
                  <c:y val="-1.776510955718426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pt idx="5">
                  <c:v>141.9</c:v>
                </c:pt>
                <c:pt idx="6">
                  <c:v>123.9</c:v>
                </c:pt>
                <c:pt idx="7">
                  <c:v>114.6</c:v>
                </c:pt>
                <c:pt idx="8">
                  <c:v>104.5</c:v>
                </c:pt>
                <c:pt idx="9">
                  <c:v>100.8</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117272832"/>
        <c:axId val="117273392"/>
      </c:lineChart>
      <c:catAx>
        <c:axId val="11727283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117273392"/>
        <c:crosses val="autoZero"/>
        <c:auto val="1"/>
        <c:lblAlgn val="ctr"/>
        <c:lblOffset val="0"/>
        <c:tickLblSkip val="1"/>
        <c:tickMarkSkip val="1"/>
        <c:noMultiLvlLbl val="0"/>
      </c:catAx>
      <c:valAx>
        <c:axId val="117273392"/>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17272832"/>
        <c:crosses val="autoZero"/>
        <c:crossBetween val="midCat"/>
        <c:majorUnit val="20"/>
        <c:minorUnit val="10"/>
      </c:valAx>
      <c:spPr>
        <a:noFill/>
        <a:ln w="25430">
          <a:noFill/>
        </a:ln>
      </c:spPr>
    </c:plotArea>
    <c:legend>
      <c:legendPos val="r"/>
      <c:legendEntry>
        <c:idx val="2"/>
        <c:delete val="1"/>
      </c:legendEntry>
      <c:layout>
        <c:manualLayout>
          <c:xMode val="edge"/>
          <c:yMode val="edge"/>
          <c:x val="0.31465907187133529"/>
          <c:y val="0.82639467827905388"/>
          <c:w val="0.2100082002627611"/>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6207687085027028E-2"/>
                  <c:y val="-4.83226343694989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0701342903245796E-2"/>
                  <c:y val="-3.13484910771695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pt idx="5">
                  <c:v>141</c:v>
                </c:pt>
                <c:pt idx="6">
                  <c:v>135.69999999999999</c:v>
                </c:pt>
                <c:pt idx="7">
                  <c:v>134.69999999999999</c:v>
                </c:pt>
                <c:pt idx="8">
                  <c:v>151.30000000000001</c:v>
                </c:pt>
                <c:pt idx="9">
                  <c:v>151.19999999999999</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118502672"/>
        <c:axId val="118503232"/>
      </c:lineChart>
      <c:catAx>
        <c:axId val="11850267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118503232"/>
        <c:crosses val="autoZero"/>
        <c:auto val="1"/>
        <c:lblAlgn val="ctr"/>
        <c:lblOffset val="0"/>
        <c:tickLblSkip val="1"/>
        <c:tickMarkSkip val="1"/>
        <c:noMultiLvlLbl val="0"/>
      </c:catAx>
      <c:valAx>
        <c:axId val="118503232"/>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18502672"/>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36278597314193517"/>
          <c:y val="0.83953722746155168"/>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39735-79B5-4509-B14C-392589EE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4940</Words>
  <Characters>2816</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7741</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2</cp:revision>
  <cp:lastPrinted>2023-08-15T08:35:00Z</cp:lastPrinted>
  <dcterms:created xsi:type="dcterms:W3CDTF">2023-12-18T12:30:00Z</dcterms:created>
  <dcterms:modified xsi:type="dcterms:W3CDTF">2023-12-18T12:30:00Z</dcterms:modified>
</cp:coreProperties>
</file>